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18DDA" w14:textId="1C1181F6" w:rsidR="00A95D7E" w:rsidRPr="000B1A98" w:rsidRDefault="00A95D7E" w:rsidP="004C37D0">
      <w:pPr>
        <w:spacing w:line="360" w:lineRule="auto"/>
        <w:jc w:val="both"/>
        <w:rPr>
          <w:rFonts w:ascii="Times New Roman" w:hAnsi="Times New Roman"/>
          <w:b/>
          <w:bCs/>
          <w:sz w:val="24"/>
        </w:rPr>
      </w:pPr>
    </w:p>
    <w:p w14:paraId="66B378B5" w14:textId="20D04E26"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Section 78 Town and Country Planning Act 1990</w:t>
      </w:r>
    </w:p>
    <w:p w14:paraId="7252BF40" w14:textId="31D898E1"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Land off Moorthorpe Way Sheffield</w:t>
      </w:r>
    </w:p>
    <w:p w14:paraId="5D6DCE5F" w14:textId="253311B2"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Appeal by Avant Homes Ltd</w:t>
      </w:r>
    </w:p>
    <w:p w14:paraId="333AB2E8" w14:textId="6DEE2E91" w:rsidR="00B05891" w:rsidRPr="000B1A98" w:rsidRDefault="00B05891" w:rsidP="00734B7E">
      <w:pPr>
        <w:spacing w:line="360" w:lineRule="auto"/>
        <w:jc w:val="center"/>
        <w:rPr>
          <w:rFonts w:ascii="Times New Roman" w:hAnsi="Times New Roman"/>
          <w:b/>
          <w:bCs/>
          <w:sz w:val="24"/>
        </w:rPr>
      </w:pPr>
    </w:p>
    <w:p w14:paraId="657D6B08" w14:textId="56C8A086"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LPA ref: 10/03143/FUL</w:t>
      </w:r>
    </w:p>
    <w:p w14:paraId="69C31329" w14:textId="03A6A65E"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PINS Ref: APP/J4423/W/20/3258555</w:t>
      </w:r>
    </w:p>
    <w:p w14:paraId="2B4915E7" w14:textId="2DDA09C6" w:rsidR="00B05891" w:rsidRPr="000B1A98" w:rsidRDefault="00B05891" w:rsidP="00734B7E">
      <w:pPr>
        <w:spacing w:line="360" w:lineRule="auto"/>
        <w:jc w:val="center"/>
        <w:rPr>
          <w:rFonts w:ascii="Times New Roman" w:hAnsi="Times New Roman"/>
          <w:b/>
          <w:bCs/>
          <w:sz w:val="24"/>
        </w:rPr>
      </w:pPr>
    </w:p>
    <w:p w14:paraId="6FABF1CD" w14:textId="77777777" w:rsidR="00734B7E" w:rsidRPr="000B1A98" w:rsidRDefault="00734B7E" w:rsidP="00734B7E">
      <w:pPr>
        <w:jc w:val="center"/>
        <w:rPr>
          <w:rFonts w:ascii="Times New Roman" w:hAnsi="Times New Roman"/>
          <w:sz w:val="24"/>
        </w:rPr>
      </w:pPr>
      <w:r w:rsidRPr="000B1A98">
        <w:rPr>
          <w:rFonts w:ascii="Times New Roman" w:hAnsi="Times New Roman"/>
          <w:b/>
          <w:bCs/>
          <w:sz w:val="24"/>
        </w:rPr>
        <w:t>_________________________________</w:t>
      </w:r>
    </w:p>
    <w:p w14:paraId="0B0E9ED7" w14:textId="579572F5" w:rsidR="00B05891" w:rsidRPr="000B1A98" w:rsidRDefault="00286C17" w:rsidP="00734B7E">
      <w:pPr>
        <w:spacing w:line="360" w:lineRule="auto"/>
        <w:jc w:val="center"/>
        <w:rPr>
          <w:rFonts w:ascii="Times New Roman" w:hAnsi="Times New Roman"/>
          <w:b/>
          <w:bCs/>
          <w:sz w:val="24"/>
        </w:rPr>
      </w:pPr>
      <w:r>
        <w:rPr>
          <w:rFonts w:ascii="Times New Roman" w:hAnsi="Times New Roman"/>
          <w:b/>
          <w:bCs/>
          <w:sz w:val="24"/>
        </w:rPr>
        <w:t>Final</w:t>
      </w:r>
      <w:r w:rsidR="00B05891" w:rsidRPr="000B1A98">
        <w:rPr>
          <w:rFonts w:ascii="Times New Roman" w:hAnsi="Times New Roman"/>
          <w:b/>
          <w:bCs/>
          <w:sz w:val="24"/>
        </w:rPr>
        <w:t xml:space="preserve"> Submissions of the Council</w:t>
      </w:r>
    </w:p>
    <w:p w14:paraId="16240922" w14:textId="59364ECB" w:rsidR="00B05891" w:rsidRPr="000B1A98" w:rsidRDefault="00734B7E" w:rsidP="00F87738">
      <w:pPr>
        <w:spacing w:line="360" w:lineRule="auto"/>
        <w:jc w:val="center"/>
        <w:rPr>
          <w:rFonts w:ascii="Times New Roman" w:hAnsi="Times New Roman"/>
          <w:b/>
          <w:bCs/>
          <w:sz w:val="24"/>
        </w:rPr>
      </w:pPr>
      <w:r w:rsidRPr="000B1A98">
        <w:rPr>
          <w:rFonts w:ascii="Times New Roman" w:hAnsi="Times New Roman"/>
          <w:b/>
          <w:bCs/>
          <w:sz w:val="24"/>
        </w:rPr>
        <w:t>_________________________________</w:t>
      </w:r>
    </w:p>
    <w:p w14:paraId="4BAC448C" w14:textId="0C6C0421" w:rsidR="00B05891" w:rsidRPr="000B1A98" w:rsidRDefault="00B05891" w:rsidP="004C37D0">
      <w:pPr>
        <w:spacing w:line="360" w:lineRule="auto"/>
        <w:jc w:val="both"/>
        <w:rPr>
          <w:rFonts w:ascii="Times New Roman" w:hAnsi="Times New Roman"/>
          <w:b/>
          <w:bCs/>
          <w:sz w:val="24"/>
        </w:rPr>
      </w:pPr>
      <w:r w:rsidRPr="000B1A98">
        <w:rPr>
          <w:rFonts w:ascii="Times New Roman" w:hAnsi="Times New Roman"/>
          <w:b/>
          <w:bCs/>
          <w:sz w:val="24"/>
        </w:rPr>
        <w:t>Introduction</w:t>
      </w:r>
    </w:p>
    <w:p w14:paraId="2CCA373B" w14:textId="079B950F" w:rsidR="001718DE" w:rsidRDefault="00286C17" w:rsidP="00160A4C">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 Council’s Opening Submissions </w:t>
      </w:r>
      <w:r w:rsidR="00A340FE">
        <w:rPr>
          <w:rFonts w:ascii="Times New Roman" w:hAnsi="Times New Roman"/>
          <w:sz w:val="24"/>
        </w:rPr>
        <w:t xml:space="preserve">introduced the appeal and provided an outline of its case on the main issues. The Council relies on its opening submissions, and submits the evidence called and tested entirely supports the refusal of planning permission. These Closing Submissions address </w:t>
      </w:r>
      <w:r w:rsidR="00160A4C">
        <w:rPr>
          <w:rFonts w:ascii="Times New Roman" w:hAnsi="Times New Roman"/>
          <w:sz w:val="24"/>
        </w:rPr>
        <w:t xml:space="preserve">issues B to E as set out in Opening. </w:t>
      </w:r>
    </w:p>
    <w:p w14:paraId="76B21485" w14:textId="77777777" w:rsidR="00887947" w:rsidRDefault="00887947" w:rsidP="00887947">
      <w:pPr>
        <w:pStyle w:val="ListParagraph"/>
        <w:spacing w:line="360" w:lineRule="auto"/>
        <w:jc w:val="both"/>
        <w:rPr>
          <w:rFonts w:ascii="Times New Roman" w:hAnsi="Times New Roman"/>
          <w:sz w:val="24"/>
        </w:rPr>
      </w:pPr>
    </w:p>
    <w:p w14:paraId="1B0AAD48" w14:textId="5377C4AF" w:rsidR="006F74C4" w:rsidRDefault="006A173E" w:rsidP="007C40AE">
      <w:pPr>
        <w:pStyle w:val="ListParagraph"/>
        <w:numPr>
          <w:ilvl w:val="0"/>
          <w:numId w:val="1"/>
        </w:numPr>
        <w:spacing w:line="360" w:lineRule="auto"/>
        <w:jc w:val="both"/>
        <w:rPr>
          <w:rFonts w:ascii="Times New Roman" w:hAnsi="Times New Roman"/>
          <w:sz w:val="24"/>
        </w:rPr>
      </w:pPr>
      <w:r>
        <w:rPr>
          <w:rFonts w:ascii="Times New Roman" w:hAnsi="Times New Roman"/>
          <w:sz w:val="24"/>
        </w:rPr>
        <w:t>Before doing so,</w:t>
      </w:r>
      <w:r w:rsidR="00887947">
        <w:rPr>
          <w:rFonts w:ascii="Times New Roman" w:hAnsi="Times New Roman"/>
          <w:sz w:val="24"/>
        </w:rPr>
        <w:t xml:space="preserve"> it seems worthwhile to set out some preliminary points which inform the </w:t>
      </w:r>
      <w:r w:rsidR="00724664">
        <w:rPr>
          <w:rFonts w:ascii="Times New Roman" w:hAnsi="Times New Roman"/>
          <w:sz w:val="24"/>
        </w:rPr>
        <w:t>issues</w:t>
      </w:r>
      <w:r w:rsidR="00887947">
        <w:rPr>
          <w:rFonts w:ascii="Times New Roman" w:hAnsi="Times New Roman"/>
          <w:sz w:val="24"/>
        </w:rPr>
        <w:t>.</w:t>
      </w:r>
    </w:p>
    <w:p w14:paraId="582ED6D0" w14:textId="77777777" w:rsidR="007C40AE" w:rsidRPr="007C40AE" w:rsidRDefault="007C40AE" w:rsidP="007C40AE">
      <w:pPr>
        <w:pStyle w:val="ListParagraph"/>
        <w:rPr>
          <w:rFonts w:ascii="Times New Roman" w:hAnsi="Times New Roman"/>
          <w:sz w:val="24"/>
        </w:rPr>
      </w:pPr>
    </w:p>
    <w:p w14:paraId="69F80897" w14:textId="2BBDE3F3" w:rsidR="00887947" w:rsidRPr="007C40AE" w:rsidRDefault="00887947" w:rsidP="007C40AE">
      <w:pPr>
        <w:spacing w:line="360" w:lineRule="auto"/>
        <w:jc w:val="both"/>
        <w:rPr>
          <w:rFonts w:ascii="Times New Roman" w:hAnsi="Times New Roman"/>
          <w:sz w:val="24"/>
        </w:rPr>
      </w:pPr>
      <w:r w:rsidRPr="007C40AE">
        <w:rPr>
          <w:rFonts w:ascii="Times New Roman" w:hAnsi="Times New Roman"/>
          <w:sz w:val="24"/>
          <w:u w:val="single"/>
        </w:rPr>
        <w:t>The nature of this application</w:t>
      </w:r>
    </w:p>
    <w:p w14:paraId="5FE9B2C7" w14:textId="375094F9" w:rsidR="00335C1C" w:rsidRDefault="00887947" w:rsidP="00335C1C">
      <w:pPr>
        <w:pStyle w:val="ListParagraph"/>
        <w:numPr>
          <w:ilvl w:val="0"/>
          <w:numId w:val="1"/>
        </w:numPr>
        <w:spacing w:line="360" w:lineRule="auto"/>
        <w:jc w:val="both"/>
        <w:rPr>
          <w:rFonts w:ascii="Times New Roman" w:hAnsi="Times New Roman"/>
          <w:sz w:val="24"/>
        </w:rPr>
      </w:pPr>
      <w:r>
        <w:rPr>
          <w:rFonts w:ascii="Times New Roman" w:hAnsi="Times New Roman"/>
          <w:sz w:val="24"/>
        </w:rPr>
        <w:t>Firstly,</w:t>
      </w:r>
      <w:r w:rsidR="00210ED6">
        <w:rPr>
          <w:rFonts w:ascii="Times New Roman" w:hAnsi="Times New Roman"/>
          <w:sz w:val="24"/>
        </w:rPr>
        <w:t xml:space="preserve"> the points</w:t>
      </w:r>
      <w:r>
        <w:rPr>
          <w:rFonts w:ascii="Times New Roman" w:hAnsi="Times New Roman"/>
          <w:sz w:val="24"/>
        </w:rPr>
        <w:t xml:space="preserve"> set out at the outset of its case (see Opening submissions paragraph</w:t>
      </w:r>
      <w:r w:rsidR="00335C1C">
        <w:rPr>
          <w:rFonts w:ascii="Times New Roman" w:hAnsi="Times New Roman"/>
          <w:sz w:val="24"/>
        </w:rPr>
        <w:t xml:space="preserve"> 5)</w:t>
      </w:r>
      <w:r w:rsidR="00210ED6">
        <w:rPr>
          <w:rFonts w:ascii="Times New Roman" w:hAnsi="Times New Roman"/>
          <w:sz w:val="24"/>
        </w:rPr>
        <w:t xml:space="preserve"> hold true</w:t>
      </w:r>
      <w:r w:rsidR="00335C1C">
        <w:rPr>
          <w:rFonts w:ascii="Times New Roman" w:hAnsi="Times New Roman"/>
          <w:sz w:val="24"/>
        </w:rPr>
        <w:t>:</w:t>
      </w:r>
    </w:p>
    <w:p w14:paraId="72E3D896" w14:textId="17F396DA" w:rsidR="000048C4" w:rsidRPr="00335C1C" w:rsidRDefault="00335C1C" w:rsidP="00335C1C">
      <w:pPr>
        <w:pStyle w:val="ListParagraph"/>
        <w:spacing w:line="360" w:lineRule="auto"/>
        <w:jc w:val="both"/>
        <w:rPr>
          <w:rFonts w:ascii="Times New Roman" w:hAnsi="Times New Roman"/>
          <w:sz w:val="24"/>
        </w:rPr>
      </w:pPr>
      <w:r>
        <w:rPr>
          <w:rFonts w:ascii="Times New Roman" w:hAnsi="Times New Roman"/>
          <w:sz w:val="24"/>
        </w:rPr>
        <w:t>“</w:t>
      </w:r>
      <w:r w:rsidR="00483033" w:rsidRPr="00335C1C">
        <w:rPr>
          <w:rFonts w:ascii="Times New Roman" w:hAnsi="Times New Roman"/>
          <w:sz w:val="24"/>
        </w:rPr>
        <w:t xml:space="preserve">It is fundamental to the Council’s refusal of permission that this is an application for </w:t>
      </w:r>
      <w:r w:rsidR="00483033" w:rsidRPr="00335C1C">
        <w:rPr>
          <w:rFonts w:ascii="Times New Roman" w:hAnsi="Times New Roman"/>
          <w:sz w:val="24"/>
          <w:u w:val="single"/>
        </w:rPr>
        <w:t>full</w:t>
      </w:r>
      <w:r w:rsidR="00483033" w:rsidRPr="00335C1C">
        <w:rPr>
          <w:rFonts w:ascii="Times New Roman" w:hAnsi="Times New Roman"/>
          <w:sz w:val="24"/>
        </w:rPr>
        <w:t xml:space="preserve"> planning permission. T</w:t>
      </w:r>
      <w:r w:rsidR="005443DD" w:rsidRPr="00335C1C">
        <w:rPr>
          <w:rFonts w:ascii="Times New Roman" w:hAnsi="Times New Roman"/>
          <w:sz w:val="24"/>
        </w:rPr>
        <w:t>h</w:t>
      </w:r>
      <w:r w:rsidR="00483033" w:rsidRPr="00335C1C">
        <w:rPr>
          <w:rFonts w:ascii="Times New Roman" w:hAnsi="Times New Roman"/>
          <w:sz w:val="24"/>
        </w:rPr>
        <w:t xml:space="preserve">e Council does not – and </w:t>
      </w:r>
      <w:r w:rsidR="00270FA4" w:rsidRPr="00335C1C">
        <w:rPr>
          <w:rFonts w:ascii="Times New Roman" w:hAnsi="Times New Roman"/>
          <w:sz w:val="24"/>
        </w:rPr>
        <w:t xml:space="preserve">never did – take issue with the </w:t>
      </w:r>
      <w:r w:rsidR="0032767E" w:rsidRPr="00335C1C">
        <w:rPr>
          <w:rFonts w:ascii="Times New Roman" w:hAnsi="Times New Roman"/>
          <w:sz w:val="24"/>
        </w:rPr>
        <w:t xml:space="preserve">principle of developing this site. It is a site the Council wants to see  – and in due course sites C and D </w:t>
      </w:r>
      <w:r w:rsidR="00162130" w:rsidRPr="00335C1C">
        <w:rPr>
          <w:rFonts w:ascii="Times New Roman" w:hAnsi="Times New Roman"/>
          <w:sz w:val="24"/>
        </w:rPr>
        <w:t>-</w:t>
      </w:r>
      <w:r w:rsidR="00937D9C" w:rsidRPr="00335C1C">
        <w:rPr>
          <w:rFonts w:ascii="Times New Roman" w:hAnsi="Times New Roman"/>
          <w:sz w:val="24"/>
        </w:rPr>
        <w:t xml:space="preserve"> </w:t>
      </w:r>
      <w:r w:rsidR="0032767E" w:rsidRPr="00335C1C">
        <w:rPr>
          <w:rFonts w:ascii="Times New Roman" w:hAnsi="Times New Roman"/>
          <w:sz w:val="24"/>
        </w:rPr>
        <w:t xml:space="preserve"> come forward</w:t>
      </w:r>
      <w:r w:rsidR="0045172D" w:rsidRPr="00335C1C">
        <w:rPr>
          <w:rFonts w:ascii="Times New Roman" w:hAnsi="Times New Roman"/>
          <w:sz w:val="24"/>
        </w:rPr>
        <w:t xml:space="preserve"> (although it is not correct that the Council relies on the </w:t>
      </w:r>
      <w:r w:rsidR="0045172D" w:rsidRPr="00335C1C">
        <w:rPr>
          <w:rFonts w:ascii="Times New Roman" w:hAnsi="Times New Roman"/>
          <w:sz w:val="24"/>
        </w:rPr>
        <w:lastRenderedPageBreak/>
        <w:t>site within its five year housing land supply (“HLS”)</w:t>
      </w:r>
      <w:r w:rsidR="000668AF" w:rsidRPr="000B1A98">
        <w:rPr>
          <w:rStyle w:val="FootnoteReference"/>
          <w:rFonts w:ascii="Times New Roman" w:hAnsi="Times New Roman"/>
          <w:sz w:val="24"/>
        </w:rPr>
        <w:footnoteReference w:id="2"/>
      </w:r>
      <w:r w:rsidR="008D47C9" w:rsidRPr="00335C1C">
        <w:rPr>
          <w:rFonts w:ascii="Times New Roman" w:hAnsi="Times New Roman"/>
          <w:sz w:val="24"/>
        </w:rPr>
        <w:t xml:space="preserve">. </w:t>
      </w:r>
      <w:r w:rsidR="005443DD" w:rsidRPr="00335C1C">
        <w:rPr>
          <w:rFonts w:ascii="Times New Roman" w:hAnsi="Times New Roman"/>
          <w:sz w:val="24"/>
        </w:rPr>
        <w:t xml:space="preserve">It should only come forward, however, if and when a high quality design is presented that makes appropriate and efficient use of this development opportunity, and which accords with the design guidance and opportunities identified in the </w:t>
      </w:r>
      <w:r w:rsidR="00693442" w:rsidRPr="00335C1C">
        <w:rPr>
          <w:rFonts w:ascii="Times New Roman" w:hAnsi="Times New Roman"/>
          <w:sz w:val="24"/>
        </w:rPr>
        <w:t>allocation-specific Planning and Design Brief (</w:t>
      </w:r>
      <w:r w:rsidR="00565603" w:rsidRPr="00335C1C">
        <w:rPr>
          <w:rFonts w:ascii="Times New Roman" w:hAnsi="Times New Roman"/>
          <w:sz w:val="24"/>
        </w:rPr>
        <w:t xml:space="preserve">“the Brief” - </w:t>
      </w:r>
      <w:r w:rsidR="00693442" w:rsidRPr="00335C1C">
        <w:rPr>
          <w:rFonts w:ascii="Times New Roman" w:hAnsi="Times New Roman"/>
          <w:sz w:val="24"/>
        </w:rPr>
        <w:t xml:space="preserve">CD 5.19). Unfortunately, that is not the case with the appeal proposals. The scheme has been </w:t>
      </w:r>
      <w:r w:rsidR="00937D9C" w:rsidRPr="00335C1C">
        <w:rPr>
          <w:rFonts w:ascii="Times New Roman" w:hAnsi="Times New Roman"/>
          <w:sz w:val="24"/>
        </w:rPr>
        <w:t>im</w:t>
      </w:r>
      <w:r w:rsidR="00693442" w:rsidRPr="00335C1C">
        <w:rPr>
          <w:rFonts w:ascii="Times New Roman" w:hAnsi="Times New Roman"/>
          <w:sz w:val="24"/>
        </w:rPr>
        <w:t>proved through the appeal process with the iterative amendments – but ultimately remains unacceptable and should be refused to allow a</w:t>
      </w:r>
      <w:r w:rsidR="00937D9C" w:rsidRPr="00335C1C">
        <w:rPr>
          <w:rFonts w:ascii="Times New Roman" w:hAnsi="Times New Roman"/>
          <w:sz w:val="24"/>
        </w:rPr>
        <w:t xml:space="preserve"> better and appropriate</w:t>
      </w:r>
      <w:r w:rsidR="00693442" w:rsidRPr="00335C1C">
        <w:rPr>
          <w:rFonts w:ascii="Times New Roman" w:hAnsi="Times New Roman"/>
          <w:sz w:val="24"/>
        </w:rPr>
        <w:t xml:space="preserve"> scheme to come forward. The permission granted for site E – and the design principles thereby endorsed – will have significant implications for the development of sites C and D.</w:t>
      </w:r>
      <w:r w:rsidR="00165B01">
        <w:rPr>
          <w:rFonts w:ascii="Times New Roman" w:hAnsi="Times New Roman"/>
          <w:sz w:val="24"/>
        </w:rPr>
        <w:t>”</w:t>
      </w:r>
    </w:p>
    <w:p w14:paraId="04F06EA3" w14:textId="77777777" w:rsidR="003558C0" w:rsidRPr="003558C0" w:rsidRDefault="003558C0" w:rsidP="003558C0">
      <w:pPr>
        <w:pStyle w:val="ListParagraph"/>
        <w:spacing w:line="360" w:lineRule="auto"/>
        <w:jc w:val="both"/>
        <w:rPr>
          <w:rFonts w:ascii="Times New Roman" w:hAnsi="Times New Roman"/>
          <w:sz w:val="24"/>
        </w:rPr>
      </w:pPr>
    </w:p>
    <w:p w14:paraId="67D55CE4" w14:textId="05956F08" w:rsidR="00B644CF" w:rsidRDefault="00A94429" w:rsidP="00421CC1">
      <w:pPr>
        <w:pStyle w:val="ListParagraph"/>
        <w:numPr>
          <w:ilvl w:val="0"/>
          <w:numId w:val="1"/>
        </w:numPr>
        <w:spacing w:line="360" w:lineRule="auto"/>
        <w:jc w:val="both"/>
        <w:rPr>
          <w:rFonts w:ascii="Times New Roman" w:hAnsi="Times New Roman"/>
          <w:sz w:val="24"/>
        </w:rPr>
      </w:pPr>
      <w:r w:rsidRPr="00B644CF">
        <w:rPr>
          <w:rFonts w:ascii="Times New Roman" w:hAnsi="Times New Roman"/>
          <w:sz w:val="24"/>
        </w:rPr>
        <w:t xml:space="preserve">Secondly, the </w:t>
      </w:r>
      <w:r w:rsidR="0020038F" w:rsidRPr="00B644CF">
        <w:rPr>
          <w:rFonts w:ascii="Times New Roman" w:hAnsi="Times New Roman"/>
          <w:sz w:val="24"/>
        </w:rPr>
        <w:t>merits of the appeal proposals are necessarily confined to the land-use consequences of the development, including conditions and obligations. The ap</w:t>
      </w:r>
      <w:r w:rsidR="00E53B60" w:rsidRPr="00B644CF">
        <w:rPr>
          <w:rFonts w:ascii="Times New Roman" w:hAnsi="Times New Roman"/>
          <w:sz w:val="24"/>
        </w:rPr>
        <w:t>pe</w:t>
      </w:r>
      <w:r w:rsidR="0020038F" w:rsidRPr="00B644CF">
        <w:rPr>
          <w:rFonts w:ascii="Times New Roman" w:hAnsi="Times New Roman"/>
          <w:sz w:val="24"/>
        </w:rPr>
        <w:t>al proposals are not tied to a masterplan</w:t>
      </w:r>
      <w:r w:rsidR="00A2611B" w:rsidRPr="00B644CF">
        <w:rPr>
          <w:rFonts w:ascii="Times New Roman" w:hAnsi="Times New Roman"/>
          <w:sz w:val="24"/>
        </w:rPr>
        <w:t xml:space="preserve">, </w:t>
      </w:r>
      <w:r w:rsidR="00E53B60" w:rsidRPr="00B644CF">
        <w:rPr>
          <w:rFonts w:ascii="Times New Roman" w:hAnsi="Times New Roman"/>
          <w:sz w:val="24"/>
        </w:rPr>
        <w:t>and the</w:t>
      </w:r>
      <w:r w:rsidR="00E60ADE">
        <w:rPr>
          <w:rFonts w:ascii="Times New Roman" w:hAnsi="Times New Roman"/>
          <w:sz w:val="24"/>
        </w:rPr>
        <w:t xml:space="preserve"> wider</w:t>
      </w:r>
      <w:r w:rsidR="00E53B60" w:rsidRPr="00B644CF">
        <w:rPr>
          <w:rFonts w:ascii="Times New Roman" w:hAnsi="Times New Roman"/>
          <w:sz w:val="24"/>
        </w:rPr>
        <w:t xml:space="preserve"> off-site park pro</w:t>
      </w:r>
      <w:r w:rsidR="00506238">
        <w:rPr>
          <w:rFonts w:ascii="Times New Roman" w:hAnsi="Times New Roman"/>
          <w:sz w:val="24"/>
        </w:rPr>
        <w:t>posals included at Mr Walshaw’s App. 22</w:t>
      </w:r>
      <w:r w:rsidR="00E53B60" w:rsidRPr="00B644CF">
        <w:rPr>
          <w:rFonts w:ascii="Times New Roman" w:hAnsi="Times New Roman"/>
          <w:sz w:val="24"/>
        </w:rPr>
        <w:t xml:space="preserve"> do not form any part of this application</w:t>
      </w:r>
      <w:r w:rsidR="00506238">
        <w:rPr>
          <w:rStyle w:val="FootnoteReference"/>
          <w:rFonts w:ascii="Times New Roman" w:hAnsi="Times New Roman"/>
          <w:sz w:val="24"/>
        </w:rPr>
        <w:footnoteReference w:id="3"/>
      </w:r>
      <w:r w:rsidR="00E53B60" w:rsidRPr="00B644CF">
        <w:rPr>
          <w:rFonts w:ascii="Times New Roman" w:hAnsi="Times New Roman"/>
          <w:sz w:val="24"/>
        </w:rPr>
        <w:t>.</w:t>
      </w:r>
      <w:r w:rsidR="00E60ADE">
        <w:rPr>
          <w:rFonts w:ascii="Times New Roman" w:hAnsi="Times New Roman"/>
          <w:sz w:val="24"/>
        </w:rPr>
        <w:t xml:space="preserve"> </w:t>
      </w:r>
      <w:r w:rsidR="002E2CE5">
        <w:rPr>
          <w:rFonts w:ascii="Times New Roman" w:hAnsi="Times New Roman"/>
          <w:sz w:val="24"/>
        </w:rPr>
        <w:t xml:space="preserve">It is too late also to make any further amendments to the plans (which were the subject of very late amendments in December). The scheme must be judged on the basis of the plans accepted by the Inspector to comprise this application (SoCG 4.15). That includes the shown tree loss and the proposed landscaping details. </w:t>
      </w:r>
      <w:r w:rsidR="00EE2136">
        <w:rPr>
          <w:rFonts w:ascii="Times New Roman" w:hAnsi="Times New Roman"/>
          <w:sz w:val="24"/>
        </w:rPr>
        <w:t xml:space="preserve">It also includes the units shown as affordable housing. </w:t>
      </w:r>
      <w:r w:rsidR="0074775C">
        <w:rPr>
          <w:rFonts w:ascii="Times New Roman" w:hAnsi="Times New Roman"/>
          <w:sz w:val="24"/>
        </w:rPr>
        <w:t>The Appellant has been given every chance to present the appeal scheme it wishes to present and must now stand by it.</w:t>
      </w:r>
    </w:p>
    <w:p w14:paraId="77DEBABE" w14:textId="77777777" w:rsidR="00421CC1" w:rsidRPr="00421CC1" w:rsidRDefault="00421CC1" w:rsidP="00421CC1">
      <w:pPr>
        <w:pStyle w:val="ListParagraph"/>
        <w:spacing w:line="360" w:lineRule="auto"/>
        <w:jc w:val="both"/>
        <w:rPr>
          <w:rFonts w:ascii="Times New Roman" w:hAnsi="Times New Roman"/>
          <w:sz w:val="24"/>
        </w:rPr>
      </w:pPr>
    </w:p>
    <w:p w14:paraId="4D3A9AAB" w14:textId="17B5E4A2" w:rsidR="00B644CF" w:rsidRDefault="00B644CF" w:rsidP="003558C0">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Thirdly, there was some suggestion </w:t>
      </w:r>
      <w:r w:rsidR="006465B6">
        <w:rPr>
          <w:rFonts w:ascii="Times New Roman" w:hAnsi="Times New Roman"/>
          <w:sz w:val="24"/>
        </w:rPr>
        <w:t xml:space="preserve">in the </w:t>
      </w:r>
      <w:r w:rsidR="005D1661">
        <w:rPr>
          <w:rFonts w:ascii="Times New Roman" w:hAnsi="Times New Roman"/>
          <w:sz w:val="24"/>
        </w:rPr>
        <w:t xml:space="preserve">oral </w:t>
      </w:r>
      <w:r w:rsidR="006465B6">
        <w:rPr>
          <w:rFonts w:ascii="Times New Roman" w:hAnsi="Times New Roman"/>
          <w:sz w:val="24"/>
        </w:rPr>
        <w:t>evidence of Mr Bolton that the Council’s case had changed insofar as it viewed</w:t>
      </w:r>
      <w:r w:rsidR="00997447">
        <w:rPr>
          <w:rFonts w:ascii="Times New Roman" w:hAnsi="Times New Roman"/>
          <w:sz w:val="24"/>
        </w:rPr>
        <w:t xml:space="preserve"> issues C and D as raising design issues. </w:t>
      </w:r>
      <w:r w:rsidR="00A410FA">
        <w:rPr>
          <w:rFonts w:ascii="Times New Roman" w:hAnsi="Times New Roman"/>
          <w:sz w:val="24"/>
        </w:rPr>
        <w:t>There has been no change in the Council’s case.</w:t>
      </w:r>
      <w:r w:rsidR="00437B63">
        <w:rPr>
          <w:rFonts w:ascii="Times New Roman" w:hAnsi="Times New Roman"/>
          <w:sz w:val="24"/>
        </w:rPr>
        <w:t xml:space="preserve"> </w:t>
      </w:r>
      <w:r w:rsidR="00565E31">
        <w:rPr>
          <w:rFonts w:ascii="Times New Roman" w:hAnsi="Times New Roman"/>
          <w:sz w:val="24"/>
        </w:rPr>
        <w:t>As set out in the Council’s opening (see paragraphs 7 to 11</w:t>
      </w:r>
      <w:r w:rsidR="0014183D">
        <w:rPr>
          <w:rFonts w:ascii="Times New Roman" w:hAnsi="Times New Roman"/>
          <w:sz w:val="24"/>
        </w:rPr>
        <w:t xml:space="preserve"> and 13) the Council’s case places design (in the sense in which the Framework uses that term) at the heart of its case. </w:t>
      </w:r>
      <w:r w:rsidR="00034AB1">
        <w:rPr>
          <w:rFonts w:ascii="Times New Roman" w:hAnsi="Times New Roman"/>
          <w:sz w:val="24"/>
        </w:rPr>
        <w:t xml:space="preserve">In the </w:t>
      </w:r>
      <w:r w:rsidR="00274517">
        <w:rPr>
          <w:rFonts w:ascii="Times New Roman" w:hAnsi="Times New Roman"/>
          <w:sz w:val="24"/>
        </w:rPr>
        <w:t>F</w:t>
      </w:r>
      <w:r w:rsidR="00034AB1">
        <w:rPr>
          <w:rFonts w:ascii="Times New Roman" w:hAnsi="Times New Roman"/>
          <w:sz w:val="24"/>
        </w:rPr>
        <w:t xml:space="preserve">ramework good design is not limited to architectural or detailed design </w:t>
      </w:r>
      <w:r w:rsidR="00D47806">
        <w:rPr>
          <w:rFonts w:ascii="Times New Roman" w:hAnsi="Times New Roman"/>
          <w:sz w:val="24"/>
        </w:rPr>
        <w:t>–</w:t>
      </w:r>
      <w:r w:rsidR="00034AB1">
        <w:rPr>
          <w:rFonts w:ascii="Times New Roman" w:hAnsi="Times New Roman"/>
          <w:sz w:val="24"/>
        </w:rPr>
        <w:t xml:space="preserve"> </w:t>
      </w:r>
      <w:r w:rsidR="00D47806">
        <w:rPr>
          <w:rFonts w:ascii="Times New Roman" w:hAnsi="Times New Roman"/>
          <w:sz w:val="24"/>
        </w:rPr>
        <w:t xml:space="preserve">design is </w:t>
      </w:r>
      <w:r w:rsidR="00163554">
        <w:rPr>
          <w:rFonts w:ascii="Times New Roman" w:hAnsi="Times New Roman"/>
          <w:sz w:val="24"/>
        </w:rPr>
        <w:t xml:space="preserve">about how places </w:t>
      </w:r>
      <w:r w:rsidR="00D36167">
        <w:rPr>
          <w:rFonts w:ascii="Times New Roman" w:hAnsi="Times New Roman"/>
          <w:sz w:val="24"/>
        </w:rPr>
        <w:t>function and their quality</w:t>
      </w:r>
      <w:r w:rsidR="00274517">
        <w:rPr>
          <w:rFonts w:ascii="Times New Roman" w:hAnsi="Times New Roman"/>
          <w:sz w:val="24"/>
        </w:rPr>
        <w:t>;</w:t>
      </w:r>
      <w:r w:rsidR="00E23D27">
        <w:rPr>
          <w:rFonts w:ascii="Times New Roman" w:hAnsi="Times New Roman"/>
          <w:sz w:val="24"/>
        </w:rPr>
        <w:t xml:space="preserve"> and the same is true of CS74</w:t>
      </w:r>
      <w:r w:rsidR="00E23D27">
        <w:rPr>
          <w:rStyle w:val="FootnoteReference"/>
          <w:rFonts w:ascii="Times New Roman" w:hAnsi="Times New Roman"/>
          <w:sz w:val="24"/>
        </w:rPr>
        <w:footnoteReference w:id="4"/>
      </w:r>
      <w:r w:rsidR="00D36167">
        <w:rPr>
          <w:rFonts w:ascii="Times New Roman" w:hAnsi="Times New Roman"/>
          <w:sz w:val="24"/>
        </w:rPr>
        <w:t>. This is all very clearly set out in the Framewo</w:t>
      </w:r>
      <w:r w:rsidR="009253F2">
        <w:rPr>
          <w:rFonts w:ascii="Times New Roman" w:hAnsi="Times New Roman"/>
          <w:sz w:val="24"/>
        </w:rPr>
        <w:t>r</w:t>
      </w:r>
      <w:r w:rsidR="00D36167">
        <w:rPr>
          <w:rFonts w:ascii="Times New Roman" w:hAnsi="Times New Roman"/>
          <w:sz w:val="24"/>
        </w:rPr>
        <w:t>k under the heading “Achieving well-designed places”</w:t>
      </w:r>
      <w:r w:rsidR="007A4AA3">
        <w:rPr>
          <w:rFonts w:ascii="Times New Roman" w:hAnsi="Times New Roman"/>
          <w:sz w:val="24"/>
        </w:rPr>
        <w:t xml:space="preserve">, and paragraph 127 in </w:t>
      </w:r>
      <w:r w:rsidR="007A4AA3">
        <w:rPr>
          <w:rFonts w:ascii="Times New Roman" w:hAnsi="Times New Roman"/>
          <w:sz w:val="24"/>
        </w:rPr>
        <w:lastRenderedPageBreak/>
        <w:t xml:space="preserve">particular sets out the range of matters that are required to achieve appropriate design. </w:t>
      </w:r>
      <w:r w:rsidR="00EF78D1">
        <w:rPr>
          <w:rFonts w:ascii="Times New Roman" w:hAnsi="Times New Roman"/>
          <w:sz w:val="24"/>
        </w:rPr>
        <w:t>This was clearly set out in our Opening at paragraphs 7 and 8:</w:t>
      </w:r>
    </w:p>
    <w:p w14:paraId="05A8F977" w14:textId="77777777" w:rsidR="00EF78D1" w:rsidRPr="00EF78D1" w:rsidRDefault="00EF78D1" w:rsidP="00EF78D1">
      <w:pPr>
        <w:pStyle w:val="ListParagraph"/>
        <w:rPr>
          <w:rFonts w:ascii="Times New Roman" w:hAnsi="Times New Roman"/>
          <w:sz w:val="24"/>
        </w:rPr>
      </w:pPr>
    </w:p>
    <w:p w14:paraId="12D83D9E" w14:textId="30F1BEDF" w:rsidR="00B05891" w:rsidRPr="009253F2" w:rsidRDefault="00E23D27" w:rsidP="009253F2">
      <w:pPr>
        <w:pStyle w:val="ListParagraph"/>
        <w:numPr>
          <w:ilvl w:val="0"/>
          <w:numId w:val="2"/>
        </w:numPr>
        <w:spacing w:line="360" w:lineRule="auto"/>
        <w:jc w:val="both"/>
        <w:rPr>
          <w:rFonts w:ascii="Times New Roman" w:hAnsi="Times New Roman"/>
          <w:sz w:val="24"/>
        </w:rPr>
      </w:pPr>
      <w:r>
        <w:rPr>
          <w:rFonts w:ascii="Times New Roman" w:hAnsi="Times New Roman"/>
          <w:sz w:val="24"/>
        </w:rPr>
        <w:t>“</w:t>
      </w:r>
      <w:r w:rsidR="00CC44FB" w:rsidRPr="009253F2">
        <w:rPr>
          <w:rFonts w:ascii="Times New Roman" w:hAnsi="Times New Roman"/>
          <w:sz w:val="24"/>
        </w:rPr>
        <w:t>National policy requires</w:t>
      </w:r>
      <w:r w:rsidR="00BB27E4" w:rsidRPr="009253F2">
        <w:rPr>
          <w:rFonts w:ascii="Times New Roman" w:hAnsi="Times New Roman"/>
          <w:sz w:val="24"/>
        </w:rPr>
        <w:t xml:space="preserve"> permission to be refused for development of poor design that fails to take the opportunities available for improving the character and quality of an area and the way it functions</w:t>
      </w:r>
      <w:r w:rsidR="00634B29">
        <w:rPr>
          <w:rStyle w:val="FootnoteReference"/>
          <w:rFonts w:ascii="Times New Roman" w:hAnsi="Times New Roman"/>
          <w:sz w:val="24"/>
        </w:rPr>
        <w:footnoteReference w:id="5"/>
      </w:r>
      <w:r w:rsidR="00BB27E4" w:rsidRPr="009253F2">
        <w:rPr>
          <w:rFonts w:ascii="Times New Roman" w:hAnsi="Times New Roman"/>
          <w:sz w:val="24"/>
        </w:rPr>
        <w:t>. In</w:t>
      </w:r>
      <w:r w:rsidR="004D064F" w:rsidRPr="009253F2">
        <w:rPr>
          <w:rFonts w:ascii="Times New Roman" w:hAnsi="Times New Roman"/>
          <w:sz w:val="24"/>
        </w:rPr>
        <w:t xml:space="preserve"> concluding on whether proposals amount to good – as opposed to poor – design </w:t>
      </w:r>
      <w:r w:rsidR="00396A54" w:rsidRPr="009253F2">
        <w:rPr>
          <w:rFonts w:ascii="Times New Roman" w:hAnsi="Times New Roman"/>
          <w:sz w:val="24"/>
        </w:rPr>
        <w:t>local design principles and supplementary planning guidance should be taken into acco</w:t>
      </w:r>
      <w:r w:rsidR="00F668D5" w:rsidRPr="009253F2">
        <w:rPr>
          <w:rFonts w:ascii="Times New Roman" w:hAnsi="Times New Roman"/>
          <w:sz w:val="24"/>
        </w:rPr>
        <w:t>u</w:t>
      </w:r>
      <w:r w:rsidR="00396A54" w:rsidRPr="009253F2">
        <w:rPr>
          <w:rFonts w:ascii="Times New Roman" w:hAnsi="Times New Roman"/>
          <w:sz w:val="24"/>
        </w:rPr>
        <w:t xml:space="preserve">nt. Such guidance </w:t>
      </w:r>
      <w:r w:rsidR="007631DA" w:rsidRPr="009253F2">
        <w:rPr>
          <w:rFonts w:ascii="Times New Roman" w:hAnsi="Times New Roman"/>
          <w:sz w:val="24"/>
        </w:rPr>
        <w:t>help</w:t>
      </w:r>
      <w:r w:rsidR="00634B29" w:rsidRPr="009253F2">
        <w:rPr>
          <w:rFonts w:ascii="Times New Roman" w:hAnsi="Times New Roman"/>
          <w:sz w:val="24"/>
        </w:rPr>
        <w:t>s</w:t>
      </w:r>
      <w:r w:rsidR="007631DA" w:rsidRPr="009253F2">
        <w:rPr>
          <w:rFonts w:ascii="Times New Roman" w:hAnsi="Times New Roman"/>
          <w:sz w:val="24"/>
        </w:rPr>
        <w:t xml:space="preserve"> provide clarity, and provide a framework for creating distinctive places with a consistent and high quality standard of design</w:t>
      </w:r>
      <w:r w:rsidR="007631DA" w:rsidRPr="000B1A98">
        <w:rPr>
          <w:rStyle w:val="FootnoteReference"/>
          <w:rFonts w:ascii="Times New Roman" w:hAnsi="Times New Roman"/>
          <w:sz w:val="24"/>
        </w:rPr>
        <w:footnoteReference w:id="6"/>
      </w:r>
      <w:r w:rsidR="007631DA" w:rsidRPr="009253F2">
        <w:rPr>
          <w:rFonts w:ascii="Times New Roman" w:hAnsi="Times New Roman"/>
          <w:sz w:val="24"/>
        </w:rPr>
        <w:t>.</w:t>
      </w:r>
      <w:r w:rsidR="00F668D5" w:rsidRPr="009253F2">
        <w:rPr>
          <w:rFonts w:ascii="Times New Roman" w:hAnsi="Times New Roman"/>
          <w:sz w:val="24"/>
        </w:rPr>
        <w:t xml:space="preserve"> Where an application is a full one, if the design does not meet these standards then permission should be refused.</w:t>
      </w:r>
    </w:p>
    <w:p w14:paraId="717FDE73" w14:textId="77777777" w:rsidR="00470244" w:rsidRPr="000B1A98" w:rsidRDefault="00470244" w:rsidP="00470244">
      <w:pPr>
        <w:pStyle w:val="ListParagraph"/>
        <w:spacing w:line="360" w:lineRule="auto"/>
        <w:jc w:val="both"/>
        <w:rPr>
          <w:rFonts w:ascii="Times New Roman" w:hAnsi="Times New Roman"/>
          <w:sz w:val="24"/>
        </w:rPr>
      </w:pPr>
    </w:p>
    <w:p w14:paraId="220EA83B" w14:textId="77777777" w:rsidR="009253F2" w:rsidRDefault="00DD198B" w:rsidP="009253F2">
      <w:pPr>
        <w:pStyle w:val="ListParagraph"/>
        <w:numPr>
          <w:ilvl w:val="0"/>
          <w:numId w:val="2"/>
        </w:numPr>
        <w:spacing w:line="360" w:lineRule="auto"/>
        <w:jc w:val="both"/>
        <w:rPr>
          <w:rFonts w:ascii="Times New Roman" w:hAnsi="Times New Roman"/>
          <w:sz w:val="24"/>
        </w:rPr>
      </w:pPr>
      <w:r w:rsidRPr="000B1A98">
        <w:rPr>
          <w:rFonts w:ascii="Times New Roman" w:hAnsi="Times New Roman"/>
          <w:sz w:val="24"/>
        </w:rPr>
        <w:t>National policy also provides guidance on the standard a development must achieve. It must function well and add to the overall quality of the area.</w:t>
      </w:r>
      <w:r w:rsidR="008E655F">
        <w:rPr>
          <w:rStyle w:val="FootnoteReference"/>
          <w:rFonts w:ascii="Times New Roman" w:hAnsi="Times New Roman"/>
          <w:sz w:val="24"/>
        </w:rPr>
        <w:footnoteReference w:id="7"/>
      </w:r>
      <w:r w:rsidRPr="000B1A98">
        <w:rPr>
          <w:rFonts w:ascii="Times New Roman" w:hAnsi="Times New Roman"/>
          <w:sz w:val="24"/>
        </w:rPr>
        <w:t xml:space="preserve"> It must deploy good architecture, </w:t>
      </w:r>
      <w:r w:rsidR="00C629C5" w:rsidRPr="000B1A98">
        <w:rPr>
          <w:rFonts w:ascii="Times New Roman" w:hAnsi="Times New Roman"/>
          <w:sz w:val="24"/>
        </w:rPr>
        <w:t xml:space="preserve">layout and appropriate and effective landscaping to ensure it is visually attractive. </w:t>
      </w:r>
      <w:r w:rsidR="00B3361C" w:rsidRPr="000B1A98">
        <w:rPr>
          <w:rFonts w:ascii="Times New Roman" w:hAnsi="Times New Roman"/>
          <w:sz w:val="24"/>
        </w:rPr>
        <w:t>Residential development</w:t>
      </w:r>
      <w:r w:rsidR="00C629C5" w:rsidRPr="000B1A98">
        <w:rPr>
          <w:rFonts w:ascii="Times New Roman" w:hAnsi="Times New Roman"/>
          <w:sz w:val="24"/>
        </w:rPr>
        <w:t xml:space="preserve"> must be sympathetic to loca</w:t>
      </w:r>
      <w:r w:rsidR="00470244" w:rsidRPr="000B1A98">
        <w:rPr>
          <w:rFonts w:ascii="Times New Roman" w:hAnsi="Times New Roman"/>
          <w:sz w:val="24"/>
        </w:rPr>
        <w:t>l</w:t>
      </w:r>
      <w:r w:rsidR="00C629C5" w:rsidRPr="000B1A98">
        <w:rPr>
          <w:rFonts w:ascii="Times New Roman" w:hAnsi="Times New Roman"/>
          <w:sz w:val="24"/>
        </w:rPr>
        <w:t xml:space="preserve"> character, including the local landscape setting</w:t>
      </w:r>
      <w:r w:rsidR="00B3361C" w:rsidRPr="000B1A98">
        <w:rPr>
          <w:rFonts w:ascii="Times New Roman" w:hAnsi="Times New Roman"/>
          <w:sz w:val="24"/>
        </w:rPr>
        <w:t xml:space="preserve">, and it must establish a strong sense of place, creating an attractive, welcoming and distinctive place to live. It must optimise the potential of the site to accommodate and sustain </w:t>
      </w:r>
      <w:r w:rsidR="00BC1E19" w:rsidRPr="000B1A98">
        <w:rPr>
          <w:rFonts w:ascii="Times New Roman" w:hAnsi="Times New Roman"/>
          <w:sz w:val="24"/>
        </w:rPr>
        <w:t xml:space="preserve">an appropriate amount and mix of development including green and open space. It must </w:t>
      </w:r>
      <w:r w:rsidR="001C795E" w:rsidRPr="000B1A98">
        <w:rPr>
          <w:rFonts w:ascii="Times New Roman" w:hAnsi="Times New Roman"/>
          <w:sz w:val="24"/>
        </w:rPr>
        <w:t>c</w:t>
      </w:r>
      <w:r w:rsidR="00BC1E19" w:rsidRPr="000B1A98">
        <w:rPr>
          <w:rFonts w:ascii="Times New Roman" w:hAnsi="Times New Roman"/>
          <w:sz w:val="24"/>
        </w:rPr>
        <w:t>reate places that are safe</w:t>
      </w:r>
      <w:r w:rsidR="001C795E" w:rsidRPr="000B1A98">
        <w:rPr>
          <w:rFonts w:ascii="Times New Roman" w:hAnsi="Times New Roman"/>
          <w:sz w:val="24"/>
        </w:rPr>
        <w:t xml:space="preserve"> and inclusive</w:t>
      </w:r>
      <w:r w:rsidR="001C795E" w:rsidRPr="000B1A98">
        <w:rPr>
          <w:rStyle w:val="FootnoteReference"/>
          <w:rFonts w:ascii="Times New Roman" w:hAnsi="Times New Roman"/>
          <w:sz w:val="24"/>
        </w:rPr>
        <w:footnoteReference w:id="8"/>
      </w:r>
      <w:r w:rsidR="001C795E" w:rsidRPr="000B1A98">
        <w:rPr>
          <w:rFonts w:ascii="Times New Roman" w:hAnsi="Times New Roman"/>
          <w:sz w:val="24"/>
        </w:rPr>
        <w:t>.</w:t>
      </w:r>
      <w:r w:rsidR="009253F2">
        <w:rPr>
          <w:rFonts w:ascii="Times New Roman" w:hAnsi="Times New Roman"/>
          <w:sz w:val="24"/>
        </w:rPr>
        <w:t>”</w:t>
      </w:r>
    </w:p>
    <w:p w14:paraId="2758B05C" w14:textId="77777777" w:rsidR="009253F2" w:rsidRPr="009253F2" w:rsidRDefault="009253F2" w:rsidP="009253F2">
      <w:pPr>
        <w:pStyle w:val="ListParagraph"/>
        <w:rPr>
          <w:rFonts w:ascii="Times New Roman" w:hAnsi="Times New Roman"/>
          <w:sz w:val="24"/>
        </w:rPr>
      </w:pPr>
    </w:p>
    <w:p w14:paraId="4558582A" w14:textId="0961DA34" w:rsidR="00DD198B" w:rsidRPr="00E87D49" w:rsidRDefault="00573549" w:rsidP="00E87D49">
      <w:pPr>
        <w:pStyle w:val="ListParagraph"/>
        <w:numPr>
          <w:ilvl w:val="0"/>
          <w:numId w:val="1"/>
        </w:numPr>
        <w:spacing w:line="360" w:lineRule="auto"/>
        <w:jc w:val="both"/>
        <w:rPr>
          <w:rFonts w:ascii="Times New Roman" w:hAnsi="Times New Roman"/>
          <w:sz w:val="24"/>
        </w:rPr>
      </w:pPr>
      <w:r>
        <w:rPr>
          <w:rFonts w:ascii="Times New Roman" w:hAnsi="Times New Roman"/>
          <w:sz w:val="24"/>
        </w:rPr>
        <w:t>The reason for refusal</w:t>
      </w:r>
      <w:r w:rsidR="00DB2D92">
        <w:rPr>
          <w:rFonts w:ascii="Times New Roman" w:hAnsi="Times New Roman"/>
          <w:sz w:val="24"/>
        </w:rPr>
        <w:t xml:space="preserve"> addresses issue C </w:t>
      </w:r>
      <w:r w:rsidR="00A410FA">
        <w:rPr>
          <w:rFonts w:ascii="Times New Roman" w:hAnsi="Times New Roman"/>
          <w:sz w:val="24"/>
        </w:rPr>
        <w:t xml:space="preserve">explicitly </w:t>
      </w:r>
      <w:r w:rsidR="00DB2D92">
        <w:rPr>
          <w:rFonts w:ascii="Times New Roman" w:hAnsi="Times New Roman"/>
          <w:sz w:val="24"/>
        </w:rPr>
        <w:t>by reference to NPPF 127, and an assessment against 127 NPPF is addressed in the Council’s statement of case,</w:t>
      </w:r>
      <w:r w:rsidR="002C4949">
        <w:rPr>
          <w:rFonts w:ascii="Times New Roman" w:hAnsi="Times New Roman"/>
          <w:sz w:val="24"/>
        </w:rPr>
        <w:t xml:space="preserve"> and CS74, </w:t>
      </w:r>
      <w:r w:rsidR="00DB2D92">
        <w:rPr>
          <w:rFonts w:ascii="Times New Roman" w:hAnsi="Times New Roman"/>
          <w:sz w:val="24"/>
        </w:rPr>
        <w:t xml:space="preserve"> and in more detail in the proof and rebuttal of Mrs Hull</w:t>
      </w:r>
      <w:r w:rsidR="004A1C7F">
        <w:rPr>
          <w:rStyle w:val="FootnoteReference"/>
          <w:rFonts w:ascii="Times New Roman" w:hAnsi="Times New Roman"/>
          <w:sz w:val="24"/>
        </w:rPr>
        <w:footnoteReference w:id="9"/>
      </w:r>
      <w:r w:rsidR="00DB2D92">
        <w:rPr>
          <w:rFonts w:ascii="Times New Roman" w:hAnsi="Times New Roman"/>
          <w:sz w:val="24"/>
        </w:rPr>
        <w:t xml:space="preserve">. </w:t>
      </w:r>
      <w:r w:rsidR="00261645">
        <w:rPr>
          <w:rFonts w:ascii="Times New Roman" w:hAnsi="Times New Roman"/>
          <w:sz w:val="24"/>
        </w:rPr>
        <w:t xml:space="preserve">The statement of case is perfectly clear that the proposals are contrary to CS74 and design </w:t>
      </w:r>
      <w:r w:rsidR="00F44252">
        <w:rPr>
          <w:rFonts w:ascii="Times New Roman" w:hAnsi="Times New Roman"/>
          <w:sz w:val="24"/>
        </w:rPr>
        <w:t>principles</w:t>
      </w:r>
      <w:r w:rsidR="00261645">
        <w:rPr>
          <w:rFonts w:ascii="Times New Roman" w:hAnsi="Times New Roman"/>
          <w:sz w:val="24"/>
        </w:rPr>
        <w:t xml:space="preserve"> G1  G3 in the Brief, and this all relates to paragraph 127 </w:t>
      </w:r>
      <w:r w:rsidR="002A7F17">
        <w:rPr>
          <w:rFonts w:ascii="Times New Roman" w:hAnsi="Times New Roman"/>
          <w:sz w:val="24"/>
        </w:rPr>
        <w:t xml:space="preserve">and 125 </w:t>
      </w:r>
      <w:r w:rsidR="00261645">
        <w:rPr>
          <w:rFonts w:ascii="Times New Roman" w:hAnsi="Times New Roman"/>
          <w:sz w:val="24"/>
        </w:rPr>
        <w:t xml:space="preserve">and the question of the appropriate form and design of the development. </w:t>
      </w:r>
      <w:r w:rsidR="009A4D6A">
        <w:rPr>
          <w:rFonts w:ascii="Times New Roman" w:hAnsi="Times New Roman"/>
          <w:sz w:val="24"/>
        </w:rPr>
        <w:t xml:space="preserve">This is not inconsistent with anything in the SOCG, </w:t>
      </w:r>
      <w:r w:rsidR="00E36F9C">
        <w:rPr>
          <w:rFonts w:ascii="Times New Roman" w:hAnsi="Times New Roman"/>
          <w:sz w:val="24"/>
        </w:rPr>
        <w:t>which is addressing the specific detailed issues that are not in dispute,</w:t>
      </w:r>
      <w:r w:rsidR="00F44252">
        <w:rPr>
          <w:rFonts w:ascii="Times New Roman" w:hAnsi="Times New Roman"/>
          <w:sz w:val="24"/>
        </w:rPr>
        <w:t xml:space="preserve"> </w:t>
      </w:r>
      <w:r w:rsidR="00E36F9C">
        <w:rPr>
          <w:rFonts w:ascii="Times New Roman" w:hAnsi="Times New Roman"/>
          <w:sz w:val="24"/>
        </w:rPr>
        <w:lastRenderedPageBreak/>
        <w:t>such as the detailed road layout in relation to road hierarchy, safety, alignment</w:t>
      </w:r>
      <w:r w:rsidR="009723FA">
        <w:rPr>
          <w:rFonts w:ascii="Times New Roman" w:hAnsi="Times New Roman"/>
          <w:sz w:val="24"/>
        </w:rPr>
        <w:t xml:space="preserve">, highway and footpath widths and turning spaces. These points do not go to the fundamental problem with the </w:t>
      </w:r>
      <w:r w:rsidR="00067C5E">
        <w:rPr>
          <w:rFonts w:ascii="Times New Roman" w:hAnsi="Times New Roman"/>
          <w:sz w:val="24"/>
        </w:rPr>
        <w:t>overall character of the development as a result of its layout and design</w:t>
      </w:r>
      <w:r w:rsidR="00F44252">
        <w:rPr>
          <w:rFonts w:ascii="Times New Roman" w:hAnsi="Times New Roman"/>
          <w:sz w:val="24"/>
        </w:rPr>
        <w:t xml:space="preserve"> which in effect strike the wrong balance between</w:t>
      </w:r>
      <w:r w:rsidR="00C57EB8">
        <w:rPr>
          <w:rFonts w:ascii="Times New Roman" w:hAnsi="Times New Roman"/>
          <w:sz w:val="24"/>
        </w:rPr>
        <w:t xml:space="preserve"> green space, green inf</w:t>
      </w:r>
      <w:r w:rsidR="002A7F17">
        <w:rPr>
          <w:rFonts w:ascii="Times New Roman" w:hAnsi="Times New Roman"/>
          <w:sz w:val="24"/>
        </w:rPr>
        <w:t>r</w:t>
      </w:r>
      <w:r w:rsidR="00C57EB8">
        <w:rPr>
          <w:rFonts w:ascii="Times New Roman" w:hAnsi="Times New Roman"/>
          <w:sz w:val="24"/>
        </w:rPr>
        <w:t>astructure and green character and built form</w:t>
      </w:r>
      <w:r w:rsidR="00067C5E">
        <w:rPr>
          <w:rFonts w:ascii="Times New Roman" w:hAnsi="Times New Roman"/>
          <w:sz w:val="24"/>
        </w:rPr>
        <w:t xml:space="preserve">. </w:t>
      </w:r>
      <w:r w:rsidR="001C795E" w:rsidRPr="00E87D49">
        <w:rPr>
          <w:rFonts w:ascii="Times New Roman" w:hAnsi="Times New Roman"/>
          <w:sz w:val="24"/>
        </w:rPr>
        <w:t xml:space="preserve"> </w:t>
      </w:r>
      <w:r w:rsidR="00A012FB">
        <w:rPr>
          <w:rFonts w:ascii="Times New Roman" w:hAnsi="Times New Roman"/>
          <w:sz w:val="24"/>
        </w:rPr>
        <w:t xml:space="preserve">There can be no doubt – as Mr Walshaw acknowledged </w:t>
      </w:r>
      <w:r w:rsidR="00515947">
        <w:rPr>
          <w:rFonts w:ascii="Times New Roman" w:hAnsi="Times New Roman"/>
          <w:sz w:val="24"/>
        </w:rPr>
        <w:t>–</w:t>
      </w:r>
      <w:r w:rsidR="00A012FB">
        <w:rPr>
          <w:rFonts w:ascii="Times New Roman" w:hAnsi="Times New Roman"/>
          <w:sz w:val="24"/>
        </w:rPr>
        <w:t xml:space="preserve"> that</w:t>
      </w:r>
      <w:r w:rsidR="00515947">
        <w:rPr>
          <w:rFonts w:ascii="Times New Roman" w:hAnsi="Times New Roman"/>
          <w:sz w:val="24"/>
        </w:rPr>
        <w:t xml:space="preserve"> a</w:t>
      </w:r>
      <w:r w:rsidR="00FB65B8">
        <w:rPr>
          <w:rFonts w:ascii="Times New Roman" w:hAnsi="Times New Roman"/>
          <w:sz w:val="24"/>
        </w:rPr>
        <w:t xml:space="preserve"> failure to take the opportunities available </w:t>
      </w:r>
      <w:r w:rsidR="003C6777">
        <w:rPr>
          <w:rFonts w:ascii="Times New Roman" w:hAnsi="Times New Roman"/>
          <w:sz w:val="24"/>
        </w:rPr>
        <w:t xml:space="preserve">to improve the character and quality of an area, and the way it functions, taking into account the </w:t>
      </w:r>
      <w:r w:rsidR="00FE105F">
        <w:rPr>
          <w:rFonts w:ascii="Times New Roman" w:hAnsi="Times New Roman"/>
          <w:sz w:val="24"/>
        </w:rPr>
        <w:t xml:space="preserve">Brief, means that the requirements of national policy for good design are not met and permission should be refused. </w:t>
      </w:r>
      <w:r w:rsidR="00324A52">
        <w:rPr>
          <w:rFonts w:ascii="Times New Roman" w:hAnsi="Times New Roman"/>
          <w:sz w:val="24"/>
        </w:rPr>
        <w:t xml:space="preserve">Mr Bolton </w:t>
      </w:r>
      <w:r w:rsidR="00A327FD">
        <w:rPr>
          <w:rFonts w:ascii="Times New Roman" w:hAnsi="Times New Roman"/>
          <w:sz w:val="24"/>
        </w:rPr>
        <w:t>readily</w:t>
      </w:r>
      <w:r w:rsidR="00324A52">
        <w:rPr>
          <w:rFonts w:ascii="Times New Roman" w:hAnsi="Times New Roman"/>
          <w:sz w:val="24"/>
        </w:rPr>
        <w:t xml:space="preserve"> and rightly agreed that this wa</w:t>
      </w:r>
      <w:r w:rsidR="007A7A77">
        <w:rPr>
          <w:rFonts w:ascii="Times New Roman" w:hAnsi="Times New Roman"/>
          <w:sz w:val="24"/>
        </w:rPr>
        <w:t>s</w:t>
      </w:r>
      <w:r w:rsidR="00324A52">
        <w:rPr>
          <w:rFonts w:ascii="Times New Roman" w:hAnsi="Times New Roman"/>
          <w:sz w:val="24"/>
        </w:rPr>
        <w:t xml:space="preserve"> simply the consequence in national policy of failing to achieve the expectations of </w:t>
      </w:r>
      <w:r w:rsidR="00A327FD">
        <w:rPr>
          <w:rFonts w:ascii="Times New Roman" w:hAnsi="Times New Roman"/>
          <w:sz w:val="24"/>
        </w:rPr>
        <w:t>national</w:t>
      </w:r>
      <w:r w:rsidR="00324A52">
        <w:rPr>
          <w:rFonts w:ascii="Times New Roman" w:hAnsi="Times New Roman"/>
          <w:sz w:val="24"/>
        </w:rPr>
        <w:t xml:space="preserve"> policy in paragraphs 12</w:t>
      </w:r>
      <w:r w:rsidR="00741982">
        <w:rPr>
          <w:rFonts w:ascii="Times New Roman" w:hAnsi="Times New Roman"/>
          <w:sz w:val="24"/>
        </w:rPr>
        <w:t>4 to 129 of the Framework</w:t>
      </w:r>
      <w:r w:rsidR="00515947">
        <w:rPr>
          <w:rFonts w:ascii="Times New Roman" w:hAnsi="Times New Roman"/>
          <w:sz w:val="24"/>
        </w:rPr>
        <w:t xml:space="preserve"> (130)</w:t>
      </w:r>
      <w:r w:rsidR="00741982">
        <w:rPr>
          <w:rFonts w:ascii="Times New Roman" w:hAnsi="Times New Roman"/>
          <w:sz w:val="24"/>
        </w:rPr>
        <w:t xml:space="preserve">. </w:t>
      </w:r>
    </w:p>
    <w:p w14:paraId="6020107D" w14:textId="77777777" w:rsidR="00470244" w:rsidRPr="000B1A98" w:rsidRDefault="00470244" w:rsidP="00470244">
      <w:pPr>
        <w:pStyle w:val="ListParagraph"/>
        <w:rPr>
          <w:rFonts w:ascii="Times New Roman" w:hAnsi="Times New Roman"/>
          <w:sz w:val="24"/>
        </w:rPr>
      </w:pPr>
    </w:p>
    <w:p w14:paraId="73773B02" w14:textId="77F5F000" w:rsidR="00E03C8F" w:rsidRDefault="00E03C8F" w:rsidP="00E03C8F">
      <w:pPr>
        <w:spacing w:line="360" w:lineRule="auto"/>
        <w:jc w:val="both"/>
        <w:rPr>
          <w:rFonts w:ascii="Times New Roman" w:hAnsi="Times New Roman"/>
          <w:b/>
          <w:bCs/>
          <w:sz w:val="24"/>
        </w:rPr>
      </w:pPr>
      <w:r>
        <w:rPr>
          <w:rFonts w:ascii="Times New Roman" w:hAnsi="Times New Roman"/>
          <w:b/>
          <w:bCs/>
          <w:sz w:val="24"/>
        </w:rPr>
        <w:t>Issue C</w:t>
      </w:r>
      <w:r w:rsidR="00421CC1">
        <w:rPr>
          <w:rFonts w:ascii="Times New Roman" w:hAnsi="Times New Roman"/>
          <w:b/>
          <w:bCs/>
          <w:sz w:val="24"/>
        </w:rPr>
        <w:t xml:space="preserve">: </w:t>
      </w:r>
      <w:r w:rsidR="007057B3">
        <w:rPr>
          <w:rFonts w:ascii="Times New Roman" w:hAnsi="Times New Roman"/>
          <w:b/>
          <w:bCs/>
          <w:sz w:val="24"/>
        </w:rPr>
        <w:t>Character, Green Infrastructure and Open Space</w:t>
      </w:r>
    </w:p>
    <w:p w14:paraId="31052424" w14:textId="080D21F7" w:rsidR="009C4A01" w:rsidRPr="009C4A01" w:rsidRDefault="009C4A01" w:rsidP="00E03C8F">
      <w:pPr>
        <w:spacing w:line="360" w:lineRule="auto"/>
        <w:jc w:val="both"/>
        <w:rPr>
          <w:rFonts w:ascii="Times New Roman" w:hAnsi="Times New Roman"/>
          <w:sz w:val="24"/>
          <w:u w:val="single"/>
        </w:rPr>
      </w:pPr>
      <w:r>
        <w:rPr>
          <w:rFonts w:ascii="Times New Roman" w:hAnsi="Times New Roman"/>
          <w:sz w:val="24"/>
          <w:u w:val="single"/>
        </w:rPr>
        <w:t>Policy and Guidance</w:t>
      </w:r>
    </w:p>
    <w:p w14:paraId="155326B3" w14:textId="70A06A87" w:rsidR="00E61B52" w:rsidRDefault="00633207"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National policy has been summarised above and is set out in </w:t>
      </w:r>
      <w:r w:rsidR="00EF0E81">
        <w:rPr>
          <w:rFonts w:ascii="Times New Roman" w:hAnsi="Times New Roman"/>
          <w:sz w:val="24"/>
        </w:rPr>
        <w:t xml:space="preserve">paras 124-130 NPPF. </w:t>
      </w:r>
      <w:r w:rsidR="006F0807">
        <w:rPr>
          <w:rFonts w:ascii="Times New Roman" w:hAnsi="Times New Roman"/>
          <w:sz w:val="24"/>
        </w:rPr>
        <w:t xml:space="preserve"> A</w:t>
      </w:r>
      <w:r w:rsidR="002C2D34">
        <w:rPr>
          <w:rFonts w:ascii="Times New Roman" w:hAnsi="Times New Roman"/>
          <w:sz w:val="24"/>
        </w:rPr>
        <w:t xml:space="preserve">s Mr Walshaw – the Appellant’s </w:t>
      </w:r>
      <w:r w:rsidR="00E61B52">
        <w:rPr>
          <w:rFonts w:ascii="Times New Roman" w:hAnsi="Times New Roman"/>
          <w:sz w:val="24"/>
        </w:rPr>
        <w:t>Urban Design witness – agreed</w:t>
      </w:r>
      <w:r w:rsidR="0048445C">
        <w:rPr>
          <w:rStyle w:val="FootnoteReference"/>
          <w:rFonts w:ascii="Times New Roman" w:hAnsi="Times New Roman"/>
          <w:sz w:val="24"/>
        </w:rPr>
        <w:footnoteReference w:id="10"/>
      </w:r>
      <w:r w:rsidR="00E61B52">
        <w:rPr>
          <w:rFonts w:ascii="Times New Roman" w:hAnsi="Times New Roman"/>
          <w:sz w:val="24"/>
        </w:rPr>
        <w:t>:</w:t>
      </w:r>
    </w:p>
    <w:p w14:paraId="5285A139" w14:textId="23E533CD" w:rsidR="00E61B52" w:rsidRDefault="00E368C2" w:rsidP="00E368C2">
      <w:pPr>
        <w:pStyle w:val="ListParagraph"/>
        <w:numPr>
          <w:ilvl w:val="0"/>
          <w:numId w:val="3"/>
        </w:numPr>
        <w:spacing w:line="360" w:lineRule="auto"/>
        <w:jc w:val="both"/>
        <w:rPr>
          <w:rFonts w:ascii="Times New Roman" w:hAnsi="Times New Roman"/>
          <w:sz w:val="24"/>
        </w:rPr>
      </w:pPr>
      <w:r>
        <w:rPr>
          <w:rFonts w:ascii="Times New Roman" w:hAnsi="Times New Roman"/>
          <w:sz w:val="24"/>
        </w:rPr>
        <w:t xml:space="preserve">Permission should be </w:t>
      </w:r>
      <w:r w:rsidR="003756B3">
        <w:rPr>
          <w:rFonts w:ascii="Times New Roman" w:hAnsi="Times New Roman"/>
          <w:sz w:val="24"/>
        </w:rPr>
        <w:t>refused</w:t>
      </w:r>
      <w:r>
        <w:rPr>
          <w:rFonts w:ascii="Times New Roman" w:hAnsi="Times New Roman"/>
          <w:sz w:val="24"/>
        </w:rPr>
        <w:t xml:space="preserve"> for development of poor design that fails to take the opportunities for </w:t>
      </w:r>
      <w:r w:rsidRPr="00E368C2">
        <w:rPr>
          <w:rFonts w:ascii="Times New Roman" w:hAnsi="Times New Roman"/>
          <w:sz w:val="24"/>
          <w:u w:val="single"/>
        </w:rPr>
        <w:t>improving</w:t>
      </w:r>
      <w:r>
        <w:rPr>
          <w:rFonts w:ascii="Times New Roman" w:hAnsi="Times New Roman"/>
          <w:sz w:val="24"/>
        </w:rPr>
        <w:t xml:space="preserve"> the character and quality of an area;</w:t>
      </w:r>
    </w:p>
    <w:p w14:paraId="7A3AA51B" w14:textId="566F637B" w:rsidR="00E368C2" w:rsidRDefault="00E368C2" w:rsidP="00E368C2">
      <w:pPr>
        <w:pStyle w:val="ListParagraph"/>
        <w:numPr>
          <w:ilvl w:val="0"/>
          <w:numId w:val="3"/>
        </w:numPr>
        <w:spacing w:line="360" w:lineRule="auto"/>
        <w:jc w:val="both"/>
        <w:rPr>
          <w:rFonts w:ascii="Times New Roman" w:hAnsi="Times New Roman"/>
          <w:sz w:val="24"/>
        </w:rPr>
      </w:pPr>
      <w:r>
        <w:rPr>
          <w:rFonts w:ascii="Times New Roman" w:hAnsi="Times New Roman"/>
          <w:sz w:val="24"/>
        </w:rPr>
        <w:t xml:space="preserve">That requires </w:t>
      </w:r>
      <w:r w:rsidR="00E152D3">
        <w:rPr>
          <w:rFonts w:ascii="Times New Roman" w:hAnsi="Times New Roman"/>
          <w:sz w:val="24"/>
        </w:rPr>
        <w:t>site and context</w:t>
      </w:r>
      <w:r w:rsidR="003756B3">
        <w:rPr>
          <w:rFonts w:ascii="Times New Roman" w:hAnsi="Times New Roman"/>
          <w:sz w:val="24"/>
        </w:rPr>
        <w:t>ual</w:t>
      </w:r>
      <w:r w:rsidR="00E152D3">
        <w:rPr>
          <w:rFonts w:ascii="Times New Roman" w:hAnsi="Times New Roman"/>
          <w:sz w:val="24"/>
        </w:rPr>
        <w:t xml:space="preserve"> appraisal to identify the opportunities available to improve that character and quality and then</w:t>
      </w:r>
      <w:r w:rsidR="00363FEC">
        <w:rPr>
          <w:rFonts w:ascii="Times New Roman" w:hAnsi="Times New Roman"/>
          <w:sz w:val="24"/>
        </w:rPr>
        <w:t xml:space="preserve"> for the design</w:t>
      </w:r>
      <w:r w:rsidR="00E152D3">
        <w:rPr>
          <w:rFonts w:ascii="Times New Roman" w:hAnsi="Times New Roman"/>
          <w:sz w:val="24"/>
        </w:rPr>
        <w:t xml:space="preserve"> to take them;</w:t>
      </w:r>
    </w:p>
    <w:p w14:paraId="790EDE6C" w14:textId="0A485003" w:rsidR="00C66E56" w:rsidRDefault="00C66E56" w:rsidP="00E368C2">
      <w:pPr>
        <w:pStyle w:val="ListParagraph"/>
        <w:numPr>
          <w:ilvl w:val="0"/>
          <w:numId w:val="3"/>
        </w:numPr>
        <w:spacing w:line="360" w:lineRule="auto"/>
        <w:jc w:val="both"/>
        <w:rPr>
          <w:rFonts w:ascii="Times New Roman" w:hAnsi="Times New Roman"/>
          <w:sz w:val="24"/>
        </w:rPr>
      </w:pPr>
      <w:r>
        <w:rPr>
          <w:rFonts w:ascii="Times New Roman" w:hAnsi="Times New Roman"/>
          <w:sz w:val="24"/>
        </w:rPr>
        <w:t>Local Plans should set out design vision</w:t>
      </w:r>
      <w:r w:rsidR="00363FEC">
        <w:rPr>
          <w:rFonts w:ascii="Times New Roman" w:hAnsi="Times New Roman"/>
          <w:sz w:val="24"/>
        </w:rPr>
        <w:t>s</w:t>
      </w:r>
      <w:r>
        <w:rPr>
          <w:rFonts w:ascii="Times New Roman" w:hAnsi="Times New Roman"/>
          <w:sz w:val="24"/>
        </w:rPr>
        <w:t xml:space="preserve"> and expectations (125), and</w:t>
      </w:r>
      <w:r w:rsidR="001D71FC">
        <w:rPr>
          <w:rFonts w:ascii="Times New Roman" w:hAnsi="Times New Roman"/>
          <w:sz w:val="24"/>
        </w:rPr>
        <w:t xml:space="preserve"> supplementary planning documents should be used to provide clarity as to design expectations</w:t>
      </w:r>
      <w:r w:rsidR="001E119E">
        <w:rPr>
          <w:rFonts w:ascii="Times New Roman" w:hAnsi="Times New Roman"/>
          <w:sz w:val="24"/>
        </w:rPr>
        <w:t xml:space="preserve"> (126)</w:t>
      </w:r>
      <w:r w:rsidR="001D71FC">
        <w:rPr>
          <w:rFonts w:ascii="Times New Roman" w:hAnsi="Times New Roman"/>
          <w:sz w:val="24"/>
        </w:rPr>
        <w:t>;</w:t>
      </w:r>
    </w:p>
    <w:p w14:paraId="401C7733" w14:textId="0BF8E6F8" w:rsidR="001E119E" w:rsidRDefault="001E119E" w:rsidP="00E368C2">
      <w:pPr>
        <w:pStyle w:val="ListParagraph"/>
        <w:numPr>
          <w:ilvl w:val="0"/>
          <w:numId w:val="3"/>
        </w:numPr>
        <w:spacing w:line="360" w:lineRule="auto"/>
        <w:jc w:val="both"/>
        <w:rPr>
          <w:rFonts w:ascii="Times New Roman" w:hAnsi="Times New Roman"/>
          <w:sz w:val="24"/>
        </w:rPr>
      </w:pPr>
      <w:r>
        <w:rPr>
          <w:rFonts w:ascii="Times New Roman" w:hAnsi="Times New Roman"/>
          <w:sz w:val="24"/>
        </w:rPr>
        <w:t>Here, H14</w:t>
      </w:r>
      <w:r w:rsidR="000D113D">
        <w:rPr>
          <w:rStyle w:val="FootnoteReference"/>
          <w:rFonts w:ascii="Times New Roman" w:hAnsi="Times New Roman"/>
          <w:sz w:val="24"/>
        </w:rPr>
        <w:footnoteReference w:id="11"/>
      </w:r>
      <w:r>
        <w:rPr>
          <w:rFonts w:ascii="Times New Roman" w:hAnsi="Times New Roman"/>
          <w:sz w:val="24"/>
        </w:rPr>
        <w:t xml:space="preserve"> provides specific design expectations, as does CS74 which is tailored to the specific local circumstances and distinctiveness of Sheffield (</w:t>
      </w:r>
      <w:r w:rsidR="00F279DB">
        <w:rPr>
          <w:rFonts w:ascii="Times New Roman" w:hAnsi="Times New Roman"/>
          <w:sz w:val="24"/>
        </w:rPr>
        <w:t xml:space="preserve">see </w:t>
      </w:r>
      <w:r w:rsidR="00A327FD">
        <w:rPr>
          <w:rFonts w:ascii="Times New Roman" w:hAnsi="Times New Roman"/>
          <w:sz w:val="24"/>
        </w:rPr>
        <w:t>paragraphs</w:t>
      </w:r>
      <w:r w:rsidR="00F279DB">
        <w:rPr>
          <w:rFonts w:ascii="Times New Roman" w:hAnsi="Times New Roman"/>
          <w:sz w:val="24"/>
        </w:rPr>
        <w:t xml:space="preserve"> 12.13 and 12.14 of the supporting text). Consistent with the Framework CS74</w:t>
      </w:r>
      <w:r w:rsidR="000D113D">
        <w:rPr>
          <w:rStyle w:val="FootnoteReference"/>
          <w:rFonts w:ascii="Times New Roman" w:hAnsi="Times New Roman"/>
          <w:sz w:val="24"/>
        </w:rPr>
        <w:footnoteReference w:id="12"/>
      </w:r>
      <w:r w:rsidR="00F279DB">
        <w:rPr>
          <w:rFonts w:ascii="Times New Roman" w:hAnsi="Times New Roman"/>
          <w:sz w:val="24"/>
        </w:rPr>
        <w:t xml:space="preserve"> requires </w:t>
      </w:r>
      <w:r w:rsidR="009C00F7">
        <w:rPr>
          <w:rFonts w:ascii="Times New Roman" w:hAnsi="Times New Roman"/>
          <w:sz w:val="24"/>
        </w:rPr>
        <w:t xml:space="preserve">development to be high-quality and </w:t>
      </w:r>
      <w:r w:rsidR="009C00F7" w:rsidRPr="00315CEA">
        <w:rPr>
          <w:rFonts w:ascii="Times New Roman" w:hAnsi="Times New Roman"/>
          <w:sz w:val="24"/>
          <w:u w:val="single"/>
        </w:rPr>
        <w:t xml:space="preserve">take advantage </w:t>
      </w:r>
      <w:r w:rsidR="00A24C12" w:rsidRPr="00315CEA">
        <w:rPr>
          <w:rFonts w:ascii="Times New Roman" w:hAnsi="Times New Roman"/>
          <w:sz w:val="24"/>
          <w:u w:val="single"/>
        </w:rPr>
        <w:t>of and enhance</w:t>
      </w:r>
      <w:r w:rsidR="00A24C12">
        <w:rPr>
          <w:rFonts w:ascii="Times New Roman" w:hAnsi="Times New Roman"/>
          <w:sz w:val="24"/>
        </w:rPr>
        <w:t xml:space="preserve"> the distinctive features </w:t>
      </w:r>
      <w:r w:rsidR="00A24C12">
        <w:rPr>
          <w:rFonts w:ascii="Times New Roman" w:hAnsi="Times New Roman"/>
          <w:sz w:val="24"/>
        </w:rPr>
        <w:lastRenderedPageBreak/>
        <w:t>of the area</w:t>
      </w:r>
      <w:r w:rsidR="00315CEA">
        <w:rPr>
          <w:rFonts w:ascii="Times New Roman" w:hAnsi="Times New Roman"/>
          <w:sz w:val="24"/>
        </w:rPr>
        <w:t>. These policies are clear that</w:t>
      </w:r>
      <w:r w:rsidR="00257843">
        <w:rPr>
          <w:rFonts w:ascii="Times New Roman" w:hAnsi="Times New Roman"/>
          <w:sz w:val="24"/>
        </w:rPr>
        <w:t xml:space="preserve"> they will be implemented through use of planning briefs</w:t>
      </w:r>
      <w:r w:rsidR="000D113D">
        <w:rPr>
          <w:rFonts w:ascii="Times New Roman" w:hAnsi="Times New Roman"/>
          <w:sz w:val="24"/>
        </w:rPr>
        <w:t xml:space="preserve"> and supplementary planning documents. </w:t>
      </w:r>
    </w:p>
    <w:p w14:paraId="1D282B6C" w14:textId="595E56B1" w:rsidR="00F46360" w:rsidRDefault="00F46360" w:rsidP="00E368C2">
      <w:pPr>
        <w:pStyle w:val="ListParagraph"/>
        <w:numPr>
          <w:ilvl w:val="0"/>
          <w:numId w:val="3"/>
        </w:numPr>
        <w:spacing w:line="360" w:lineRule="auto"/>
        <w:jc w:val="both"/>
        <w:rPr>
          <w:rFonts w:ascii="Times New Roman" w:hAnsi="Times New Roman"/>
          <w:sz w:val="24"/>
        </w:rPr>
      </w:pPr>
      <w:r>
        <w:rPr>
          <w:rFonts w:ascii="Times New Roman" w:hAnsi="Times New Roman"/>
          <w:sz w:val="24"/>
        </w:rPr>
        <w:t>The Brief</w:t>
      </w:r>
      <w:r w:rsidR="006D5E39">
        <w:rPr>
          <w:rFonts w:ascii="Times New Roman" w:hAnsi="Times New Roman"/>
          <w:sz w:val="24"/>
        </w:rPr>
        <w:t xml:space="preserve"> </w:t>
      </w:r>
      <w:r w:rsidR="0072445F">
        <w:rPr>
          <w:rFonts w:ascii="Times New Roman" w:hAnsi="Times New Roman"/>
          <w:sz w:val="24"/>
        </w:rPr>
        <w:t xml:space="preserve">(CD5.19) </w:t>
      </w:r>
      <w:r w:rsidR="006D5E39">
        <w:rPr>
          <w:rFonts w:ascii="Times New Roman" w:hAnsi="Times New Roman"/>
          <w:sz w:val="24"/>
        </w:rPr>
        <w:t>represents an adopted set of local design expectations and opportunities specifically tailored to the three Owlthorpe sites</w:t>
      </w:r>
      <w:r w:rsidR="001B0655">
        <w:rPr>
          <w:rFonts w:ascii="Times New Roman" w:hAnsi="Times New Roman"/>
          <w:sz w:val="24"/>
        </w:rPr>
        <w:t xml:space="preserve"> as advised by the Framework (126), </w:t>
      </w:r>
      <w:r w:rsidR="00987298">
        <w:rPr>
          <w:rFonts w:ascii="Times New Roman" w:hAnsi="Times New Roman"/>
          <w:sz w:val="24"/>
        </w:rPr>
        <w:t>and an assessment of whether the proposals amount to good design within the meaning of the Framework should be informed by an assessment against the Brief</w:t>
      </w:r>
      <w:r w:rsidR="0048445C">
        <w:rPr>
          <w:rFonts w:ascii="Times New Roman" w:hAnsi="Times New Roman"/>
          <w:sz w:val="24"/>
        </w:rPr>
        <w:t xml:space="preserve"> to judge the success of the scheme.</w:t>
      </w:r>
    </w:p>
    <w:p w14:paraId="31FD38B8" w14:textId="77777777" w:rsidR="00E61B52" w:rsidRDefault="00E61B52" w:rsidP="00205581">
      <w:pPr>
        <w:pStyle w:val="ListParagraph"/>
        <w:spacing w:line="360" w:lineRule="auto"/>
        <w:jc w:val="both"/>
        <w:rPr>
          <w:rFonts w:ascii="Times New Roman" w:hAnsi="Times New Roman"/>
          <w:sz w:val="24"/>
        </w:rPr>
      </w:pPr>
    </w:p>
    <w:p w14:paraId="7329BDB1" w14:textId="17CA3D45" w:rsidR="00E61B52" w:rsidRDefault="00B0568C"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The national and local policy position is therefore common ground. Not so, the Brief. Indeed, it became clear that Mr Walshaw’s interpretation of the Brief is not only different from the Council’s</w:t>
      </w:r>
      <w:r w:rsidR="00873A1D">
        <w:rPr>
          <w:rFonts w:ascii="Times New Roman" w:hAnsi="Times New Roman"/>
          <w:sz w:val="24"/>
        </w:rPr>
        <w:t xml:space="preserve">, but fundamental to his design approach of </w:t>
      </w:r>
      <w:r w:rsidR="007C3A45">
        <w:rPr>
          <w:rFonts w:ascii="Times New Roman" w:hAnsi="Times New Roman"/>
          <w:sz w:val="24"/>
        </w:rPr>
        <w:t>providing</w:t>
      </w:r>
      <w:r w:rsidR="00326F0B">
        <w:rPr>
          <w:rFonts w:ascii="Times New Roman" w:hAnsi="Times New Roman"/>
          <w:sz w:val="24"/>
        </w:rPr>
        <w:t xml:space="preserve"> “</w:t>
      </w:r>
      <w:r w:rsidR="007C3A45">
        <w:rPr>
          <w:rFonts w:ascii="Times New Roman" w:hAnsi="Times New Roman"/>
          <w:sz w:val="24"/>
        </w:rPr>
        <w:t>another urban block of housing</w:t>
      </w:r>
      <w:r w:rsidR="00A2471D">
        <w:rPr>
          <w:rFonts w:ascii="Times New Roman" w:hAnsi="Times New Roman"/>
          <w:sz w:val="24"/>
        </w:rPr>
        <w:t xml:space="preserve"> with </w:t>
      </w:r>
      <w:r w:rsidR="007C3A45">
        <w:rPr>
          <w:rFonts w:ascii="Times New Roman" w:hAnsi="Times New Roman"/>
          <w:sz w:val="24"/>
        </w:rPr>
        <w:t xml:space="preserve"> </w:t>
      </w:r>
      <w:r w:rsidR="00326F0B">
        <w:rPr>
          <w:rFonts w:ascii="Times New Roman" w:hAnsi="Times New Roman"/>
          <w:sz w:val="24"/>
        </w:rPr>
        <w:t>very limited internal green spaces”</w:t>
      </w:r>
      <w:r w:rsidR="007C3A45">
        <w:rPr>
          <w:rFonts w:ascii="Times New Roman" w:hAnsi="Times New Roman"/>
          <w:sz w:val="24"/>
        </w:rPr>
        <w:t xml:space="preserve"> </w:t>
      </w:r>
      <w:r w:rsidR="00410FCB">
        <w:rPr>
          <w:rFonts w:ascii="Times New Roman" w:hAnsi="Times New Roman"/>
          <w:sz w:val="24"/>
        </w:rPr>
        <w:t xml:space="preserve">but </w:t>
      </w:r>
      <w:r w:rsidR="008B48AE">
        <w:rPr>
          <w:rFonts w:ascii="Times New Roman" w:hAnsi="Times New Roman"/>
          <w:sz w:val="24"/>
        </w:rPr>
        <w:t>and</w:t>
      </w:r>
      <w:r w:rsidR="00DF361A">
        <w:rPr>
          <w:rFonts w:ascii="Times New Roman" w:hAnsi="Times New Roman"/>
          <w:sz w:val="24"/>
        </w:rPr>
        <w:t xml:space="preserve"> a </w:t>
      </w:r>
      <w:r w:rsidR="00410FCB">
        <w:rPr>
          <w:rFonts w:ascii="Times New Roman" w:hAnsi="Times New Roman"/>
          <w:sz w:val="24"/>
        </w:rPr>
        <w:t xml:space="preserve">peripheral “green necklace” </w:t>
      </w:r>
      <w:r w:rsidR="007C3A45">
        <w:rPr>
          <w:rFonts w:ascii="Times New Roman" w:hAnsi="Times New Roman"/>
          <w:sz w:val="24"/>
        </w:rPr>
        <w:t xml:space="preserve">as a </w:t>
      </w:r>
      <w:r w:rsidR="007C3A45" w:rsidRPr="007C3A45">
        <w:rPr>
          <w:rFonts w:ascii="Times New Roman" w:hAnsi="Times New Roman"/>
          <w:sz w:val="24"/>
          <w:u w:val="single"/>
        </w:rPr>
        <w:t>replication</w:t>
      </w:r>
      <w:r w:rsidR="007C3A45">
        <w:rPr>
          <w:rFonts w:ascii="Times New Roman" w:hAnsi="Times New Roman"/>
          <w:sz w:val="24"/>
        </w:rPr>
        <w:t xml:space="preserve"> of</w:t>
      </w:r>
      <w:r w:rsidR="00642D4D">
        <w:rPr>
          <w:rFonts w:ascii="Times New Roman" w:hAnsi="Times New Roman"/>
          <w:sz w:val="24"/>
        </w:rPr>
        <w:t xml:space="preserve"> the prevailing character of the area</w:t>
      </w:r>
      <w:r w:rsidR="00642D4D">
        <w:rPr>
          <w:rStyle w:val="FootnoteReference"/>
          <w:rFonts w:ascii="Times New Roman" w:hAnsi="Times New Roman"/>
          <w:sz w:val="24"/>
        </w:rPr>
        <w:footnoteReference w:id="13"/>
      </w:r>
      <w:r w:rsidR="004C74C0">
        <w:rPr>
          <w:rFonts w:ascii="Times New Roman" w:hAnsi="Times New Roman"/>
          <w:sz w:val="24"/>
        </w:rPr>
        <w:t>.</w:t>
      </w:r>
    </w:p>
    <w:p w14:paraId="7EB3D047" w14:textId="2AA7E50D" w:rsidR="004C74C0" w:rsidRDefault="004C74C0" w:rsidP="004C74C0">
      <w:pPr>
        <w:pStyle w:val="ListParagraph"/>
        <w:spacing w:line="360" w:lineRule="auto"/>
        <w:jc w:val="both"/>
        <w:rPr>
          <w:rFonts w:ascii="Times New Roman" w:hAnsi="Times New Roman"/>
          <w:sz w:val="24"/>
        </w:rPr>
      </w:pPr>
    </w:p>
    <w:p w14:paraId="7D237E54" w14:textId="13399605" w:rsidR="004C74C0" w:rsidRDefault="004C74C0"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The interpretation of</w:t>
      </w:r>
      <w:r w:rsidR="00480780">
        <w:rPr>
          <w:rFonts w:ascii="Times New Roman" w:hAnsi="Times New Roman"/>
          <w:sz w:val="24"/>
        </w:rPr>
        <w:t xml:space="preserve"> planning </w:t>
      </w:r>
      <w:r w:rsidR="00FC3218">
        <w:rPr>
          <w:rFonts w:ascii="Times New Roman" w:hAnsi="Times New Roman"/>
          <w:sz w:val="24"/>
        </w:rPr>
        <w:t xml:space="preserve">policy and </w:t>
      </w:r>
      <w:r w:rsidR="00480780">
        <w:rPr>
          <w:rFonts w:ascii="Times New Roman" w:hAnsi="Times New Roman"/>
          <w:sz w:val="24"/>
        </w:rPr>
        <w:t xml:space="preserve">guidance is to be undertaken in a </w:t>
      </w:r>
      <w:r w:rsidR="00DF361A">
        <w:rPr>
          <w:rFonts w:ascii="Times New Roman" w:hAnsi="Times New Roman"/>
          <w:sz w:val="24"/>
        </w:rPr>
        <w:t>common-sense</w:t>
      </w:r>
      <w:r w:rsidR="00480780">
        <w:rPr>
          <w:rFonts w:ascii="Times New Roman" w:hAnsi="Times New Roman"/>
          <w:sz w:val="24"/>
        </w:rPr>
        <w:t xml:space="preserve"> way giving words their ordinary meaning in context and having regard to the objectives of the guidance. </w:t>
      </w:r>
      <w:r w:rsidR="00383D4E">
        <w:rPr>
          <w:rFonts w:ascii="Times New Roman" w:hAnsi="Times New Roman"/>
          <w:sz w:val="24"/>
        </w:rPr>
        <w:t>The Brief should be read as a whole</w:t>
      </w:r>
      <w:r w:rsidR="00FC3218">
        <w:rPr>
          <w:rFonts w:ascii="Times New Roman" w:hAnsi="Times New Roman"/>
          <w:sz w:val="24"/>
        </w:rPr>
        <w:t xml:space="preserve">, and as </w:t>
      </w:r>
      <w:r w:rsidR="006D244A">
        <w:rPr>
          <w:rFonts w:ascii="Times New Roman" w:hAnsi="Times New Roman"/>
          <w:sz w:val="24"/>
        </w:rPr>
        <w:t>guidance for practical decision-making</w:t>
      </w:r>
      <w:r w:rsidR="00260A00">
        <w:rPr>
          <w:rStyle w:val="FootnoteReference"/>
          <w:rFonts w:ascii="Times New Roman" w:hAnsi="Times New Roman"/>
          <w:sz w:val="24"/>
        </w:rPr>
        <w:footnoteReference w:id="14"/>
      </w:r>
      <w:r w:rsidR="006D244A">
        <w:rPr>
          <w:rFonts w:ascii="Times New Roman" w:hAnsi="Times New Roman"/>
          <w:sz w:val="24"/>
        </w:rPr>
        <w:t xml:space="preserve">. </w:t>
      </w:r>
    </w:p>
    <w:p w14:paraId="41E1CE1F" w14:textId="77777777" w:rsidR="00687ABF" w:rsidRPr="00687ABF" w:rsidRDefault="00687ABF" w:rsidP="00687ABF">
      <w:pPr>
        <w:pStyle w:val="ListParagraph"/>
        <w:rPr>
          <w:rFonts w:ascii="Times New Roman" w:hAnsi="Times New Roman"/>
          <w:sz w:val="24"/>
        </w:rPr>
      </w:pPr>
    </w:p>
    <w:p w14:paraId="00AB2CC9" w14:textId="5F1A5B5C" w:rsidR="00687ABF" w:rsidRDefault="00626F63"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T</w:t>
      </w:r>
      <w:r w:rsidR="008E7A91">
        <w:rPr>
          <w:rFonts w:ascii="Times New Roman" w:hAnsi="Times New Roman"/>
          <w:sz w:val="24"/>
        </w:rPr>
        <w:t xml:space="preserve">he objectives of the Brief include </w:t>
      </w:r>
      <w:r w:rsidR="00DF361A">
        <w:rPr>
          <w:rFonts w:ascii="Times New Roman" w:hAnsi="Times New Roman"/>
          <w:sz w:val="24"/>
        </w:rPr>
        <w:t xml:space="preserve">to </w:t>
      </w:r>
      <w:r w:rsidR="008E7A91">
        <w:rPr>
          <w:rFonts w:ascii="Times New Roman" w:hAnsi="Times New Roman"/>
          <w:sz w:val="24"/>
        </w:rPr>
        <w:t>promot</w:t>
      </w:r>
      <w:r w:rsidR="00DF361A">
        <w:rPr>
          <w:rFonts w:ascii="Times New Roman" w:hAnsi="Times New Roman"/>
          <w:sz w:val="24"/>
        </w:rPr>
        <w:t>e</w:t>
      </w:r>
      <w:r w:rsidR="008E7A91">
        <w:rPr>
          <w:rFonts w:ascii="Times New Roman" w:hAnsi="Times New Roman"/>
          <w:sz w:val="24"/>
        </w:rPr>
        <w:t xml:space="preserve"> high-quality development </w:t>
      </w:r>
      <w:r w:rsidR="0038622E">
        <w:rPr>
          <w:rFonts w:ascii="Times New Roman" w:hAnsi="Times New Roman"/>
          <w:sz w:val="24"/>
        </w:rPr>
        <w:t xml:space="preserve">that contributes positively to the local neighbourhood, and to </w:t>
      </w:r>
      <w:r w:rsidR="0038622E">
        <w:rPr>
          <w:rFonts w:ascii="Times New Roman" w:hAnsi="Times New Roman"/>
          <w:sz w:val="24"/>
          <w:u w:val="single"/>
        </w:rPr>
        <w:t>optimise</w:t>
      </w:r>
      <w:r w:rsidR="0038622E">
        <w:rPr>
          <w:rFonts w:ascii="Times New Roman" w:hAnsi="Times New Roman"/>
          <w:sz w:val="24"/>
        </w:rPr>
        <w:t xml:space="preserve"> the </w:t>
      </w:r>
      <w:r w:rsidR="0038622E">
        <w:rPr>
          <w:rFonts w:ascii="Times New Roman" w:hAnsi="Times New Roman"/>
          <w:sz w:val="24"/>
          <w:u w:val="single"/>
        </w:rPr>
        <w:t>value of the setting and site features such as its distinctive landscape</w:t>
      </w:r>
      <w:r w:rsidR="00182C5A">
        <w:rPr>
          <w:rFonts w:ascii="Times New Roman" w:hAnsi="Times New Roman"/>
          <w:sz w:val="24"/>
        </w:rPr>
        <w:t xml:space="preserve"> and topography. The </w:t>
      </w:r>
      <w:r w:rsidR="00DA5707">
        <w:rPr>
          <w:rFonts w:ascii="Times New Roman" w:hAnsi="Times New Roman"/>
          <w:sz w:val="24"/>
        </w:rPr>
        <w:t xml:space="preserve">Vision at 2.2 is consistent that the new development </w:t>
      </w:r>
      <w:r w:rsidR="00EC5712">
        <w:rPr>
          <w:rFonts w:ascii="Times New Roman" w:hAnsi="Times New Roman"/>
          <w:sz w:val="24"/>
        </w:rPr>
        <w:t>at Owlthorpe should reflect the</w:t>
      </w:r>
      <w:r w:rsidR="009B2194">
        <w:rPr>
          <w:rFonts w:ascii="Times New Roman" w:hAnsi="Times New Roman"/>
          <w:sz w:val="24"/>
        </w:rPr>
        <w:t xml:space="preserve"> distinctive green character of the setting and utilise the site’s natural assets. </w:t>
      </w:r>
      <w:r w:rsidR="005D4502">
        <w:rPr>
          <w:rFonts w:ascii="Times New Roman" w:hAnsi="Times New Roman"/>
          <w:sz w:val="24"/>
        </w:rPr>
        <w:t>5.5.1 of the Brief reminds developers of the UDP requirement to retain mature trees, copses and hed</w:t>
      </w:r>
      <w:r w:rsidR="003E4751">
        <w:rPr>
          <w:rFonts w:ascii="Times New Roman" w:hAnsi="Times New Roman"/>
          <w:sz w:val="24"/>
        </w:rPr>
        <w:t>gerows wherever possible. The Brief conduct</w:t>
      </w:r>
      <w:r w:rsidR="00B00F5C">
        <w:rPr>
          <w:rFonts w:ascii="Times New Roman" w:hAnsi="Times New Roman"/>
          <w:sz w:val="24"/>
        </w:rPr>
        <w:t>s</w:t>
      </w:r>
      <w:r w:rsidR="003E4751">
        <w:rPr>
          <w:rFonts w:ascii="Times New Roman" w:hAnsi="Times New Roman"/>
          <w:sz w:val="24"/>
        </w:rPr>
        <w:t xml:space="preserve"> a site a</w:t>
      </w:r>
      <w:r w:rsidR="00803C3A">
        <w:rPr>
          <w:rFonts w:ascii="Times New Roman" w:hAnsi="Times New Roman"/>
          <w:sz w:val="24"/>
        </w:rPr>
        <w:t xml:space="preserve">ppraisal which begins by emphasising that the </w:t>
      </w:r>
      <w:r w:rsidR="00A327FD">
        <w:rPr>
          <w:rFonts w:ascii="Times New Roman" w:hAnsi="Times New Roman"/>
          <w:sz w:val="24"/>
        </w:rPr>
        <w:t>sites</w:t>
      </w:r>
      <w:r w:rsidR="00803C3A">
        <w:rPr>
          <w:rFonts w:ascii="Times New Roman" w:hAnsi="Times New Roman"/>
          <w:sz w:val="24"/>
        </w:rPr>
        <w:t xml:space="preserve"> are all Greenfield. </w:t>
      </w:r>
      <w:r w:rsidR="002B732A">
        <w:rPr>
          <w:rFonts w:ascii="Times New Roman" w:hAnsi="Times New Roman"/>
          <w:sz w:val="24"/>
        </w:rPr>
        <w:t xml:space="preserve">The </w:t>
      </w:r>
      <w:r w:rsidR="00A327FD">
        <w:rPr>
          <w:rFonts w:ascii="Times New Roman" w:hAnsi="Times New Roman"/>
          <w:sz w:val="24"/>
        </w:rPr>
        <w:t>first</w:t>
      </w:r>
      <w:r w:rsidR="002B732A">
        <w:rPr>
          <w:rFonts w:ascii="Times New Roman" w:hAnsi="Times New Roman"/>
          <w:sz w:val="24"/>
        </w:rPr>
        <w:t xml:space="preserve"> “Key Opportunity”</w:t>
      </w:r>
      <w:r w:rsidR="00C6575D">
        <w:rPr>
          <w:rFonts w:ascii="Times New Roman" w:hAnsi="Times New Roman"/>
          <w:sz w:val="24"/>
        </w:rPr>
        <w:t xml:space="preserve"> identified </w:t>
      </w:r>
      <w:r w:rsidR="00A327FD">
        <w:rPr>
          <w:rFonts w:ascii="Times New Roman" w:hAnsi="Times New Roman"/>
          <w:sz w:val="24"/>
        </w:rPr>
        <w:t>consistent</w:t>
      </w:r>
      <w:r w:rsidR="00C6575D">
        <w:rPr>
          <w:rFonts w:ascii="Times New Roman" w:hAnsi="Times New Roman"/>
          <w:sz w:val="24"/>
        </w:rPr>
        <w:t xml:space="preserve"> with the NPPF is “</w:t>
      </w:r>
      <w:r w:rsidR="00C6575D" w:rsidRPr="00C6575D">
        <w:rPr>
          <w:rFonts w:ascii="Times New Roman" w:hAnsi="Times New Roman"/>
          <w:sz w:val="24"/>
          <w:u w:val="single"/>
        </w:rPr>
        <w:t>Optimising the greenfield character</w:t>
      </w:r>
      <w:r w:rsidR="00C6575D">
        <w:rPr>
          <w:rFonts w:ascii="Times New Roman" w:hAnsi="Times New Roman"/>
          <w:sz w:val="24"/>
        </w:rPr>
        <w:t xml:space="preserve">, topography and </w:t>
      </w:r>
      <w:r w:rsidR="00C6575D" w:rsidRPr="00C6575D">
        <w:rPr>
          <w:rFonts w:ascii="Times New Roman" w:hAnsi="Times New Roman"/>
          <w:sz w:val="24"/>
          <w:u w:val="single"/>
        </w:rPr>
        <w:t>lands</w:t>
      </w:r>
      <w:r w:rsidR="00C6575D">
        <w:rPr>
          <w:rFonts w:ascii="Times New Roman" w:hAnsi="Times New Roman"/>
          <w:sz w:val="24"/>
          <w:u w:val="single"/>
        </w:rPr>
        <w:t>cape</w:t>
      </w:r>
      <w:r w:rsidR="00EE4E7E">
        <w:rPr>
          <w:rFonts w:ascii="Times New Roman" w:hAnsi="Times New Roman"/>
          <w:sz w:val="24"/>
          <w:u w:val="single"/>
        </w:rPr>
        <w:t xml:space="preserve"> value of the sites and context</w:t>
      </w:r>
      <w:r w:rsidR="00EE4E7E">
        <w:rPr>
          <w:rStyle w:val="FootnoteReference"/>
          <w:rFonts w:ascii="Times New Roman" w:hAnsi="Times New Roman"/>
          <w:sz w:val="24"/>
          <w:u w:val="single"/>
        </w:rPr>
        <w:footnoteReference w:id="15"/>
      </w:r>
      <w:r w:rsidR="00EE4E7E">
        <w:rPr>
          <w:rFonts w:ascii="Times New Roman" w:hAnsi="Times New Roman"/>
          <w:sz w:val="24"/>
        </w:rPr>
        <w:t>. None of these objectives</w:t>
      </w:r>
      <w:r w:rsidR="007E0C76">
        <w:rPr>
          <w:rFonts w:ascii="Times New Roman" w:hAnsi="Times New Roman"/>
          <w:sz w:val="24"/>
        </w:rPr>
        <w:t xml:space="preserve"> or opportunities is </w:t>
      </w:r>
      <w:r w:rsidR="0037758F">
        <w:rPr>
          <w:rFonts w:ascii="Times New Roman" w:hAnsi="Times New Roman"/>
          <w:sz w:val="24"/>
        </w:rPr>
        <w:lastRenderedPageBreak/>
        <w:t>limited to</w:t>
      </w:r>
      <w:r w:rsidR="007E0C76">
        <w:rPr>
          <w:rFonts w:ascii="Times New Roman" w:hAnsi="Times New Roman"/>
          <w:sz w:val="24"/>
        </w:rPr>
        <w:t xml:space="preserve"> the edge of or outside the site. They all apply to the site as a whole and the character of the development as a whole. </w:t>
      </w:r>
      <w:r w:rsidR="009D71FB">
        <w:rPr>
          <w:rFonts w:ascii="Times New Roman" w:hAnsi="Times New Roman"/>
          <w:sz w:val="24"/>
        </w:rPr>
        <w:t xml:space="preserve">They all envisage a development that has a character that reflects the green character of the site and its setting. </w:t>
      </w:r>
    </w:p>
    <w:p w14:paraId="3929F043" w14:textId="77777777" w:rsidR="00EA2B17" w:rsidRDefault="00EA2B17" w:rsidP="00EA2B17">
      <w:pPr>
        <w:pStyle w:val="ListParagraph"/>
        <w:spacing w:line="360" w:lineRule="auto"/>
        <w:jc w:val="both"/>
        <w:rPr>
          <w:rFonts w:ascii="Times New Roman" w:hAnsi="Times New Roman"/>
          <w:sz w:val="24"/>
        </w:rPr>
      </w:pPr>
    </w:p>
    <w:p w14:paraId="22CF9FAE" w14:textId="32B97FB8" w:rsidR="00B23224" w:rsidRDefault="00B23224"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 Brief then sets out </w:t>
      </w:r>
      <w:r w:rsidR="005C3195">
        <w:rPr>
          <w:rFonts w:ascii="Times New Roman" w:hAnsi="Times New Roman"/>
          <w:sz w:val="24"/>
        </w:rPr>
        <w:t xml:space="preserve">a series of “key design principles” that the development should address. </w:t>
      </w:r>
      <w:r w:rsidR="000F0A44">
        <w:rPr>
          <w:rFonts w:ascii="Times New Roman" w:hAnsi="Times New Roman"/>
          <w:sz w:val="24"/>
        </w:rPr>
        <w:t xml:space="preserve">The critical principles that go to the character of the development are all presented under the heading: Green Environment. </w:t>
      </w:r>
      <w:r w:rsidR="00F71665">
        <w:rPr>
          <w:rFonts w:ascii="Times New Roman" w:hAnsi="Times New Roman"/>
          <w:sz w:val="24"/>
        </w:rPr>
        <w:t>Giving the words their ordinary meaning in the context of the objectives:</w:t>
      </w:r>
    </w:p>
    <w:p w14:paraId="116581E6" w14:textId="54880C02" w:rsidR="00F71665" w:rsidRDefault="00F71665" w:rsidP="00F71665">
      <w:pPr>
        <w:pStyle w:val="ListParagraph"/>
        <w:spacing w:line="360" w:lineRule="auto"/>
        <w:ind w:left="1440"/>
        <w:jc w:val="both"/>
        <w:rPr>
          <w:rFonts w:ascii="Times New Roman" w:hAnsi="Times New Roman"/>
          <w:sz w:val="24"/>
        </w:rPr>
      </w:pPr>
      <w:r>
        <w:rPr>
          <w:rFonts w:ascii="Times New Roman" w:hAnsi="Times New Roman"/>
          <w:sz w:val="24"/>
        </w:rPr>
        <w:t xml:space="preserve">G1. </w:t>
      </w:r>
      <w:r w:rsidR="004C7192">
        <w:rPr>
          <w:rFonts w:ascii="Times New Roman" w:hAnsi="Times New Roman"/>
          <w:sz w:val="24"/>
        </w:rPr>
        <w:t xml:space="preserve">This address interfaces between the built form and woodland edges and open spaces. It requires these interfaces to be carefully design to enhance land scape quality </w:t>
      </w:r>
      <w:r w:rsidR="004C7192">
        <w:rPr>
          <w:rFonts w:ascii="Times New Roman" w:hAnsi="Times New Roman"/>
          <w:sz w:val="24"/>
          <w:u w:val="single"/>
        </w:rPr>
        <w:t>and</w:t>
      </w:r>
      <w:r w:rsidR="004C7192">
        <w:rPr>
          <w:rFonts w:ascii="Times New Roman" w:hAnsi="Times New Roman"/>
          <w:sz w:val="24"/>
        </w:rPr>
        <w:t xml:space="preserve"> to provide value to the residents of the scheme</w:t>
      </w:r>
      <w:r w:rsidR="00202A83">
        <w:rPr>
          <w:rFonts w:ascii="Times New Roman" w:hAnsi="Times New Roman"/>
          <w:sz w:val="24"/>
        </w:rPr>
        <w:t>.</w:t>
      </w:r>
    </w:p>
    <w:p w14:paraId="399FE4AE" w14:textId="1339D174" w:rsidR="00202A83" w:rsidRDefault="00202A83" w:rsidP="00F71665">
      <w:pPr>
        <w:pStyle w:val="ListParagraph"/>
        <w:spacing w:line="360" w:lineRule="auto"/>
        <w:ind w:left="1440"/>
        <w:jc w:val="both"/>
        <w:rPr>
          <w:rFonts w:ascii="Times New Roman" w:hAnsi="Times New Roman"/>
          <w:sz w:val="24"/>
        </w:rPr>
      </w:pPr>
      <w:r>
        <w:rPr>
          <w:rFonts w:ascii="Times New Roman" w:hAnsi="Times New Roman"/>
          <w:sz w:val="24"/>
        </w:rPr>
        <w:t>G2. This has a broader role. It is concerned with the “de</w:t>
      </w:r>
      <w:r w:rsidR="00881D3A">
        <w:rPr>
          <w:rFonts w:ascii="Times New Roman" w:hAnsi="Times New Roman"/>
          <w:sz w:val="24"/>
        </w:rPr>
        <w:t xml:space="preserve">velopment of character” of the proposals. It is not limited to the edges – if it were it would be unnecessary given G1. </w:t>
      </w:r>
      <w:r w:rsidR="00700280">
        <w:rPr>
          <w:rFonts w:ascii="Times New Roman" w:hAnsi="Times New Roman"/>
          <w:sz w:val="24"/>
        </w:rPr>
        <w:t>It requires the landscape setting to feature significantly in the overall character of the scheme</w:t>
      </w:r>
      <w:r w:rsidR="00B93909">
        <w:rPr>
          <w:rFonts w:ascii="Times New Roman" w:hAnsi="Times New Roman"/>
          <w:sz w:val="24"/>
        </w:rPr>
        <w:t xml:space="preserve">. It does not say or mean that </w:t>
      </w:r>
      <w:r w:rsidR="00D47570">
        <w:rPr>
          <w:rFonts w:ascii="Times New Roman" w:hAnsi="Times New Roman"/>
          <w:sz w:val="24"/>
        </w:rPr>
        <w:t xml:space="preserve">only </w:t>
      </w:r>
      <w:r w:rsidR="00B93909">
        <w:rPr>
          <w:rFonts w:ascii="Times New Roman" w:hAnsi="Times New Roman"/>
          <w:sz w:val="24"/>
        </w:rPr>
        <w:t>the periphery of the site should feature the landscape setting – which would be meaningless</w:t>
      </w:r>
      <w:r w:rsidR="002C2960">
        <w:rPr>
          <w:rFonts w:ascii="Times New Roman" w:hAnsi="Times New Roman"/>
          <w:sz w:val="24"/>
        </w:rPr>
        <w:t xml:space="preserve"> after G1</w:t>
      </w:r>
      <w:r w:rsidR="00E52A11">
        <w:rPr>
          <w:rFonts w:ascii="Times New Roman" w:hAnsi="Times New Roman"/>
          <w:sz w:val="24"/>
        </w:rPr>
        <w:t>. Not only would it be at odds with the objective and vision but it would leave the overall character of the development unaddressed</w:t>
      </w:r>
      <w:r w:rsidR="00B93909">
        <w:rPr>
          <w:rFonts w:ascii="Times New Roman" w:hAnsi="Times New Roman"/>
          <w:sz w:val="24"/>
        </w:rPr>
        <w:t xml:space="preserve">. </w:t>
      </w:r>
      <w:r w:rsidR="006C4CEB">
        <w:rPr>
          <w:rFonts w:ascii="Times New Roman" w:hAnsi="Times New Roman"/>
          <w:sz w:val="24"/>
        </w:rPr>
        <w:t>Th</w:t>
      </w:r>
      <w:r w:rsidR="00F704BE">
        <w:rPr>
          <w:rFonts w:ascii="Times New Roman" w:hAnsi="Times New Roman"/>
          <w:sz w:val="24"/>
        </w:rPr>
        <w:t>e preferred</w:t>
      </w:r>
      <w:r w:rsidR="006C4CEB">
        <w:rPr>
          <w:rFonts w:ascii="Times New Roman" w:hAnsi="Times New Roman"/>
          <w:sz w:val="24"/>
        </w:rPr>
        <w:t xml:space="preserve"> reading is the only one that gives effect to the vision, objectives and opportunities that apply to the site as a whole. Incidentally, this is also consistent with the original </w:t>
      </w:r>
      <w:r w:rsidR="004D6290">
        <w:rPr>
          <w:rFonts w:ascii="Times New Roman" w:hAnsi="Times New Roman"/>
          <w:sz w:val="24"/>
        </w:rPr>
        <w:t>interpretation of Mr Walshaw in his proof</w:t>
      </w:r>
      <w:r w:rsidR="00E22B9A">
        <w:rPr>
          <w:rFonts w:ascii="Times New Roman" w:hAnsi="Times New Roman"/>
          <w:sz w:val="24"/>
        </w:rPr>
        <w:t xml:space="preserve"> at 5.73</w:t>
      </w:r>
      <w:r w:rsidR="00607940">
        <w:rPr>
          <w:rFonts w:ascii="Times New Roman" w:hAnsi="Times New Roman"/>
          <w:sz w:val="24"/>
        </w:rPr>
        <w:t xml:space="preserve"> which applies G2 to the overall character of the scheme as a whole. </w:t>
      </w:r>
      <w:r w:rsidR="00AF210F">
        <w:rPr>
          <w:rFonts w:ascii="Times New Roman" w:hAnsi="Times New Roman"/>
          <w:sz w:val="24"/>
        </w:rPr>
        <w:t xml:space="preserve">Here the </w:t>
      </w:r>
      <w:r w:rsidR="00B70CF8">
        <w:rPr>
          <w:rFonts w:ascii="Times New Roman" w:hAnsi="Times New Roman"/>
          <w:sz w:val="24"/>
        </w:rPr>
        <w:t>landscape setting of the site has a particularly green and woodland character, which must be a significant feature of the character of the development.</w:t>
      </w:r>
    </w:p>
    <w:p w14:paraId="26648598" w14:textId="6C0504E4" w:rsidR="00294892" w:rsidRDefault="003E4FE5" w:rsidP="00294892">
      <w:pPr>
        <w:pStyle w:val="ListParagraph"/>
        <w:spacing w:line="360" w:lineRule="auto"/>
        <w:ind w:left="1440"/>
        <w:jc w:val="both"/>
        <w:rPr>
          <w:rFonts w:ascii="Times New Roman" w:hAnsi="Times New Roman"/>
          <w:sz w:val="24"/>
        </w:rPr>
      </w:pPr>
      <w:r>
        <w:rPr>
          <w:rFonts w:ascii="Times New Roman" w:hAnsi="Times New Roman"/>
          <w:sz w:val="24"/>
        </w:rPr>
        <w:t xml:space="preserve">G3. </w:t>
      </w:r>
      <w:r w:rsidR="000A0B88">
        <w:rPr>
          <w:rFonts w:ascii="Times New Roman" w:hAnsi="Times New Roman"/>
          <w:sz w:val="24"/>
        </w:rPr>
        <w:t xml:space="preserve">This requires an assessment of the positive and negative effects of a development on green infrastructure to ensure that the overall effect is positive </w:t>
      </w:r>
      <w:r w:rsidR="00294892">
        <w:rPr>
          <w:rFonts w:ascii="Times New Roman" w:hAnsi="Times New Roman"/>
          <w:sz w:val="24"/>
        </w:rPr>
        <w:t xml:space="preserve">in that regard. </w:t>
      </w:r>
    </w:p>
    <w:p w14:paraId="179987A8" w14:textId="77777777" w:rsidR="009C4A01" w:rsidRPr="00294892" w:rsidRDefault="009C4A01" w:rsidP="00294892">
      <w:pPr>
        <w:pStyle w:val="ListParagraph"/>
        <w:spacing w:line="360" w:lineRule="auto"/>
        <w:ind w:left="1440"/>
        <w:jc w:val="both"/>
        <w:rPr>
          <w:rFonts w:ascii="Times New Roman" w:hAnsi="Times New Roman"/>
          <w:sz w:val="24"/>
        </w:rPr>
      </w:pPr>
    </w:p>
    <w:p w14:paraId="13F38D87" w14:textId="323CEAE8" w:rsidR="00E61B52" w:rsidRDefault="00294892"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The Appe</w:t>
      </w:r>
      <w:r w:rsidR="009C4A01">
        <w:rPr>
          <w:rFonts w:ascii="Times New Roman" w:hAnsi="Times New Roman"/>
          <w:sz w:val="24"/>
        </w:rPr>
        <w:t>l</w:t>
      </w:r>
      <w:r>
        <w:rPr>
          <w:rFonts w:ascii="Times New Roman" w:hAnsi="Times New Roman"/>
          <w:sz w:val="24"/>
        </w:rPr>
        <w:t xml:space="preserve">lant appears to </w:t>
      </w:r>
      <w:r w:rsidR="007D31AA">
        <w:rPr>
          <w:rFonts w:ascii="Times New Roman" w:hAnsi="Times New Roman"/>
          <w:sz w:val="24"/>
        </w:rPr>
        <w:t xml:space="preserve">view the key design principles without any regard to the objectives or opportunities identified for the site, and as somehow overridden by Figs 19 and 20. This is mistaken for a number of reasons. Firstly, </w:t>
      </w:r>
      <w:r w:rsidR="00DA27C9">
        <w:rPr>
          <w:rFonts w:ascii="Times New Roman" w:hAnsi="Times New Roman"/>
          <w:sz w:val="24"/>
        </w:rPr>
        <w:t xml:space="preserve">all policy and guidance must be read </w:t>
      </w:r>
      <w:r w:rsidR="00B028AB">
        <w:rPr>
          <w:rFonts w:ascii="Times New Roman" w:hAnsi="Times New Roman"/>
          <w:sz w:val="24"/>
        </w:rPr>
        <w:t xml:space="preserve">as a whole </w:t>
      </w:r>
      <w:r w:rsidR="00DA27C9">
        <w:rPr>
          <w:rFonts w:ascii="Times New Roman" w:hAnsi="Times New Roman"/>
          <w:sz w:val="24"/>
        </w:rPr>
        <w:t>in light of its context and its objectives. Secondly, the Brief could not be any clearer that any development must address the key design principles</w:t>
      </w:r>
      <w:r w:rsidR="002F79B9">
        <w:rPr>
          <w:rFonts w:ascii="Times New Roman" w:hAnsi="Times New Roman"/>
          <w:sz w:val="24"/>
        </w:rPr>
        <w:t xml:space="preserve"> and so effect must be given to these principles (</w:t>
      </w:r>
      <w:r w:rsidR="00165669">
        <w:rPr>
          <w:rFonts w:ascii="Times New Roman" w:hAnsi="Times New Roman"/>
          <w:sz w:val="24"/>
        </w:rPr>
        <w:t xml:space="preserve">6.3.1). Thirdly, the Urban Design </w:t>
      </w:r>
      <w:r w:rsidR="00165669">
        <w:rPr>
          <w:rFonts w:ascii="Times New Roman" w:hAnsi="Times New Roman"/>
          <w:sz w:val="24"/>
        </w:rPr>
        <w:lastRenderedPageBreak/>
        <w:t>Framework</w:t>
      </w:r>
      <w:r w:rsidR="006A0D78">
        <w:rPr>
          <w:rFonts w:ascii="Times New Roman" w:hAnsi="Times New Roman"/>
          <w:sz w:val="24"/>
        </w:rPr>
        <w:t xml:space="preserve"> (Fig 19(2))</w:t>
      </w:r>
      <w:r w:rsidR="00165669">
        <w:rPr>
          <w:rFonts w:ascii="Times New Roman" w:hAnsi="Times New Roman"/>
          <w:sz w:val="24"/>
        </w:rPr>
        <w:t xml:space="preserve"> is high-level</w:t>
      </w:r>
      <w:r w:rsidR="00815B64">
        <w:rPr>
          <w:rFonts w:ascii="Times New Roman" w:hAnsi="Times New Roman"/>
          <w:sz w:val="24"/>
        </w:rPr>
        <w:t xml:space="preserve"> guidance expressly to be read </w:t>
      </w:r>
      <w:r w:rsidR="00815B64">
        <w:rPr>
          <w:rFonts w:ascii="Times New Roman" w:hAnsi="Times New Roman"/>
          <w:sz w:val="24"/>
          <w:u w:val="single"/>
        </w:rPr>
        <w:t>in conjunction</w:t>
      </w:r>
      <w:r w:rsidR="00815B64">
        <w:rPr>
          <w:rFonts w:ascii="Times New Roman" w:hAnsi="Times New Roman"/>
          <w:sz w:val="24"/>
        </w:rPr>
        <w:t xml:space="preserve"> with the principles. </w:t>
      </w:r>
      <w:r w:rsidR="00D26378">
        <w:rPr>
          <w:rFonts w:ascii="Times New Roman" w:hAnsi="Times New Roman"/>
          <w:sz w:val="24"/>
        </w:rPr>
        <w:t>It is not in any sense setting out the appropriate balance between green-space and built form</w:t>
      </w:r>
      <w:r w:rsidR="0085013E">
        <w:rPr>
          <w:rFonts w:ascii="Times New Roman" w:hAnsi="Times New Roman"/>
          <w:sz w:val="24"/>
        </w:rPr>
        <w:t>, or a final internal layout</w:t>
      </w:r>
      <w:r w:rsidR="00D26378">
        <w:rPr>
          <w:rFonts w:ascii="Times New Roman" w:hAnsi="Times New Roman"/>
          <w:sz w:val="24"/>
        </w:rPr>
        <w:t>. That is for an individual design. For example, Figure 19 does not show any lands</w:t>
      </w:r>
      <w:r w:rsidR="00E26F95">
        <w:rPr>
          <w:rFonts w:ascii="Times New Roman" w:hAnsi="Times New Roman"/>
          <w:sz w:val="24"/>
        </w:rPr>
        <w:t>caping whatsoever within site E. That does not mean there should be no landscaping – which would be directly contrary to the Green</w:t>
      </w:r>
      <w:r w:rsidR="00674019">
        <w:rPr>
          <w:rFonts w:ascii="Times New Roman" w:hAnsi="Times New Roman"/>
          <w:sz w:val="24"/>
        </w:rPr>
        <w:t xml:space="preserve"> Environment principles. It means that such matters are left for assessment against the </w:t>
      </w:r>
      <w:r w:rsidR="00B1682E">
        <w:rPr>
          <w:rFonts w:ascii="Times New Roman" w:hAnsi="Times New Roman"/>
          <w:sz w:val="24"/>
        </w:rPr>
        <w:t xml:space="preserve">design principles. </w:t>
      </w:r>
      <w:r w:rsidR="00A327FD">
        <w:rPr>
          <w:rFonts w:ascii="Times New Roman" w:hAnsi="Times New Roman"/>
          <w:sz w:val="24"/>
        </w:rPr>
        <w:t>Fourthly</w:t>
      </w:r>
      <w:r w:rsidR="00F62755">
        <w:rPr>
          <w:rFonts w:ascii="Times New Roman" w:hAnsi="Times New Roman"/>
          <w:sz w:val="24"/>
        </w:rPr>
        <w:t>, Fig 20 is a high-leve</w:t>
      </w:r>
      <w:r w:rsidR="0018338C">
        <w:rPr>
          <w:rFonts w:ascii="Times New Roman" w:hAnsi="Times New Roman"/>
          <w:sz w:val="24"/>
        </w:rPr>
        <w:t xml:space="preserve">l conceptual masterplan. It is not purporting to show the balance of development – although it does </w:t>
      </w:r>
      <w:r w:rsidR="00543A56">
        <w:rPr>
          <w:rFonts w:ascii="Times New Roman" w:hAnsi="Times New Roman"/>
          <w:sz w:val="24"/>
        </w:rPr>
        <w:t xml:space="preserve">reflect a number of the key principles from Fig 19 such as the sensitive </w:t>
      </w:r>
      <w:r w:rsidR="00A327FD">
        <w:rPr>
          <w:rFonts w:ascii="Times New Roman" w:hAnsi="Times New Roman"/>
          <w:sz w:val="24"/>
        </w:rPr>
        <w:t>green</w:t>
      </w:r>
      <w:r w:rsidR="00543A56">
        <w:rPr>
          <w:rFonts w:ascii="Times New Roman" w:hAnsi="Times New Roman"/>
          <w:sz w:val="24"/>
        </w:rPr>
        <w:t xml:space="preserve"> edges around all of the N, W, and SW boundaries of the site, and that </w:t>
      </w:r>
      <w:r w:rsidR="003F0998">
        <w:rPr>
          <w:rFonts w:ascii="Times New Roman" w:hAnsi="Times New Roman"/>
          <w:sz w:val="24"/>
        </w:rPr>
        <w:t>buildings should front these. Clearly the careful design of the interface is left to G</w:t>
      </w:r>
      <w:r w:rsidR="001753B1">
        <w:rPr>
          <w:rFonts w:ascii="Times New Roman" w:hAnsi="Times New Roman"/>
          <w:sz w:val="24"/>
        </w:rPr>
        <w:t xml:space="preserve">1 at this level of analysis, as is the overall character left to G2. </w:t>
      </w:r>
      <w:r w:rsidR="001743C9">
        <w:rPr>
          <w:rFonts w:ascii="Times New Roman" w:hAnsi="Times New Roman"/>
          <w:sz w:val="24"/>
        </w:rPr>
        <w:t>Fig 20</w:t>
      </w:r>
      <w:r w:rsidR="001753B1">
        <w:rPr>
          <w:rFonts w:ascii="Times New Roman" w:hAnsi="Times New Roman"/>
          <w:sz w:val="24"/>
        </w:rPr>
        <w:t xml:space="preserve"> also shows at an illustrative level highly permeable built edges to the sensitive green edges</w:t>
      </w:r>
      <w:r w:rsidR="00A676F1">
        <w:rPr>
          <w:rFonts w:ascii="Times New Roman" w:hAnsi="Times New Roman"/>
          <w:sz w:val="24"/>
        </w:rPr>
        <w:t>, and significant peripheral planting.</w:t>
      </w:r>
    </w:p>
    <w:p w14:paraId="021C4E5C" w14:textId="3A923CE9" w:rsidR="009C4A01" w:rsidRPr="009C4A01" w:rsidRDefault="009C4A01" w:rsidP="009C4A01">
      <w:pPr>
        <w:spacing w:line="360" w:lineRule="auto"/>
        <w:jc w:val="both"/>
        <w:rPr>
          <w:rFonts w:ascii="Times New Roman" w:hAnsi="Times New Roman"/>
          <w:sz w:val="24"/>
          <w:u w:val="single"/>
        </w:rPr>
      </w:pPr>
      <w:r>
        <w:rPr>
          <w:rFonts w:ascii="Times New Roman" w:hAnsi="Times New Roman"/>
          <w:sz w:val="24"/>
          <w:u w:val="single"/>
        </w:rPr>
        <w:t>Site Context</w:t>
      </w:r>
    </w:p>
    <w:p w14:paraId="2FB6A321" w14:textId="34174692" w:rsidR="002D0F3C" w:rsidRDefault="00984571"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 </w:t>
      </w:r>
      <w:r w:rsidR="00696208">
        <w:rPr>
          <w:rFonts w:ascii="Times New Roman" w:hAnsi="Times New Roman"/>
          <w:sz w:val="24"/>
        </w:rPr>
        <w:t>site is a</w:t>
      </w:r>
      <w:r>
        <w:rPr>
          <w:rFonts w:ascii="Times New Roman" w:hAnsi="Times New Roman"/>
          <w:sz w:val="24"/>
        </w:rPr>
        <w:t xml:space="preserve"> greenfield site with re-establishing woodland</w:t>
      </w:r>
      <w:r w:rsidR="00594F52">
        <w:rPr>
          <w:rFonts w:ascii="Times New Roman" w:hAnsi="Times New Roman"/>
          <w:sz w:val="24"/>
        </w:rPr>
        <w:t xml:space="preserve"> o</w:t>
      </w:r>
      <w:r>
        <w:rPr>
          <w:rFonts w:ascii="Times New Roman" w:hAnsi="Times New Roman"/>
          <w:sz w:val="24"/>
        </w:rPr>
        <w:t xml:space="preserve">n the site, and established woodland to the north. </w:t>
      </w:r>
      <w:r w:rsidR="00AB32E2">
        <w:rPr>
          <w:rFonts w:ascii="Times New Roman" w:hAnsi="Times New Roman"/>
          <w:sz w:val="24"/>
        </w:rPr>
        <w:t>The design principles in the Brief have been developed following site and context appraisal and are specific to these sites. The DAS</w:t>
      </w:r>
      <w:r w:rsidR="00AB32E2">
        <w:rPr>
          <w:rStyle w:val="FootnoteReference"/>
          <w:rFonts w:ascii="Times New Roman" w:hAnsi="Times New Roman"/>
          <w:sz w:val="24"/>
        </w:rPr>
        <w:footnoteReference w:id="16"/>
      </w:r>
      <w:r w:rsidR="00A409BB">
        <w:rPr>
          <w:rFonts w:ascii="Times New Roman" w:hAnsi="Times New Roman"/>
          <w:sz w:val="24"/>
        </w:rPr>
        <w:t xml:space="preserve"> at </w:t>
      </w:r>
      <w:r w:rsidR="00594F52">
        <w:rPr>
          <w:rFonts w:ascii="Times New Roman" w:hAnsi="Times New Roman"/>
          <w:sz w:val="24"/>
        </w:rPr>
        <w:t>p</w:t>
      </w:r>
      <w:r w:rsidR="00A409BB">
        <w:rPr>
          <w:rFonts w:ascii="Times New Roman" w:hAnsi="Times New Roman"/>
          <w:sz w:val="24"/>
        </w:rPr>
        <w:t>29 is not complimentary about the</w:t>
      </w:r>
      <w:r w:rsidR="00971AEC">
        <w:rPr>
          <w:rFonts w:ascii="Times New Roman" w:hAnsi="Times New Roman"/>
          <w:sz w:val="24"/>
        </w:rPr>
        <w:t xml:space="preserve"> character of nearby housing estates and identifies that there is an opportunity to</w:t>
      </w:r>
      <w:r w:rsidR="002D0F3C">
        <w:rPr>
          <w:rFonts w:ascii="Times New Roman" w:hAnsi="Times New Roman"/>
          <w:sz w:val="24"/>
        </w:rPr>
        <w:t xml:space="preserve"> create a development with its own identity</w:t>
      </w:r>
      <w:r w:rsidR="007710BD">
        <w:rPr>
          <w:rFonts w:ascii="Times New Roman" w:hAnsi="Times New Roman"/>
          <w:sz w:val="24"/>
        </w:rPr>
        <w:t xml:space="preserve">. </w:t>
      </w:r>
    </w:p>
    <w:p w14:paraId="60631C26" w14:textId="77777777" w:rsidR="00826865" w:rsidRDefault="00826865" w:rsidP="00826865">
      <w:pPr>
        <w:pStyle w:val="ListParagraph"/>
        <w:spacing w:line="360" w:lineRule="auto"/>
        <w:jc w:val="both"/>
        <w:rPr>
          <w:rFonts w:ascii="Times New Roman" w:hAnsi="Times New Roman"/>
          <w:sz w:val="24"/>
        </w:rPr>
      </w:pPr>
    </w:p>
    <w:p w14:paraId="3D6E790E" w14:textId="548813D2" w:rsidR="007A3EE6" w:rsidRDefault="00F06282"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Mr Walshaw</w:t>
      </w:r>
      <w:r w:rsidR="00453B80">
        <w:rPr>
          <w:rFonts w:ascii="Times New Roman" w:hAnsi="Times New Roman"/>
          <w:sz w:val="24"/>
        </w:rPr>
        <w:t xml:space="preserve">’s proof of evidence set out an analysis of the key characteristics of the nearby </w:t>
      </w:r>
      <w:r w:rsidR="000B2F0A">
        <w:rPr>
          <w:rFonts w:ascii="Times New Roman" w:hAnsi="Times New Roman"/>
          <w:sz w:val="24"/>
        </w:rPr>
        <w:t xml:space="preserve">housing areas. This identified </w:t>
      </w:r>
      <w:r w:rsidR="005C02E0">
        <w:rPr>
          <w:rFonts w:ascii="Times New Roman" w:hAnsi="Times New Roman"/>
          <w:sz w:val="24"/>
        </w:rPr>
        <w:t xml:space="preserve">one of their </w:t>
      </w:r>
      <w:r w:rsidR="000B2F0A">
        <w:rPr>
          <w:rFonts w:ascii="Times New Roman" w:hAnsi="Times New Roman"/>
          <w:sz w:val="24"/>
        </w:rPr>
        <w:t>prevailing characteristic</w:t>
      </w:r>
      <w:r w:rsidR="005C02E0">
        <w:rPr>
          <w:rFonts w:ascii="Times New Roman" w:hAnsi="Times New Roman"/>
          <w:sz w:val="24"/>
        </w:rPr>
        <w:t>s as</w:t>
      </w:r>
      <w:r w:rsidR="007A3CD6">
        <w:rPr>
          <w:rFonts w:ascii="Times New Roman" w:hAnsi="Times New Roman"/>
          <w:sz w:val="24"/>
        </w:rPr>
        <w:t xml:space="preserve"> “the very </w:t>
      </w:r>
      <w:r w:rsidR="00A327FD">
        <w:rPr>
          <w:rFonts w:ascii="Times New Roman" w:hAnsi="Times New Roman"/>
          <w:sz w:val="24"/>
        </w:rPr>
        <w:t>limited amount</w:t>
      </w:r>
      <w:r w:rsidR="007A3CD6">
        <w:rPr>
          <w:rFonts w:ascii="Times New Roman" w:hAnsi="Times New Roman"/>
          <w:sz w:val="24"/>
        </w:rPr>
        <w:t xml:space="preserve"> of internal green spaces</w:t>
      </w:r>
      <w:r w:rsidR="00A2669A">
        <w:rPr>
          <w:rFonts w:ascii="Times New Roman" w:hAnsi="Times New Roman"/>
          <w:sz w:val="24"/>
        </w:rPr>
        <w:t xml:space="preserve"> breaking up the built form within the </w:t>
      </w:r>
      <w:r w:rsidR="00A327FD">
        <w:rPr>
          <w:rFonts w:ascii="Times New Roman" w:hAnsi="Times New Roman"/>
          <w:sz w:val="24"/>
        </w:rPr>
        <w:t>neighbourhood</w:t>
      </w:r>
      <w:r w:rsidR="00A2669A">
        <w:rPr>
          <w:rFonts w:ascii="Times New Roman" w:hAnsi="Times New Roman"/>
          <w:sz w:val="24"/>
        </w:rPr>
        <w:t>”</w:t>
      </w:r>
      <w:r w:rsidR="00A2669A">
        <w:rPr>
          <w:rStyle w:val="FootnoteReference"/>
          <w:rFonts w:ascii="Times New Roman" w:hAnsi="Times New Roman"/>
          <w:sz w:val="24"/>
        </w:rPr>
        <w:footnoteReference w:id="17"/>
      </w:r>
      <w:r w:rsidR="00E339A2">
        <w:rPr>
          <w:rFonts w:ascii="Times New Roman" w:hAnsi="Times New Roman"/>
          <w:sz w:val="24"/>
        </w:rPr>
        <w:t>/ “green infrastructure forming a “green necklace” to large blocks of</w:t>
      </w:r>
      <w:r w:rsidR="00642F81">
        <w:rPr>
          <w:rFonts w:ascii="Times New Roman" w:hAnsi="Times New Roman"/>
          <w:sz w:val="24"/>
        </w:rPr>
        <w:t xml:space="preserve"> housing development with no/no notable internal greenspaces breaking up the built form”</w:t>
      </w:r>
      <w:r w:rsidR="00642F81">
        <w:rPr>
          <w:rStyle w:val="FootnoteReference"/>
          <w:rFonts w:ascii="Times New Roman" w:hAnsi="Times New Roman"/>
          <w:sz w:val="24"/>
        </w:rPr>
        <w:footnoteReference w:id="18"/>
      </w:r>
      <w:r w:rsidR="00A74C5E">
        <w:rPr>
          <w:rFonts w:ascii="Times New Roman" w:hAnsi="Times New Roman"/>
          <w:sz w:val="24"/>
        </w:rPr>
        <w:t xml:space="preserve">. Mr Walshaw considered this </w:t>
      </w:r>
      <w:r w:rsidR="000E3334">
        <w:rPr>
          <w:rFonts w:ascii="Times New Roman" w:hAnsi="Times New Roman"/>
          <w:sz w:val="24"/>
        </w:rPr>
        <w:t>feature “striking”</w:t>
      </w:r>
      <w:r w:rsidR="00B60B09">
        <w:rPr>
          <w:rStyle w:val="FootnoteReference"/>
          <w:rFonts w:ascii="Times New Roman" w:hAnsi="Times New Roman"/>
          <w:sz w:val="24"/>
        </w:rPr>
        <w:footnoteReference w:id="19"/>
      </w:r>
      <w:r w:rsidR="005D5519">
        <w:rPr>
          <w:rFonts w:ascii="Times New Roman" w:hAnsi="Times New Roman"/>
          <w:sz w:val="24"/>
        </w:rPr>
        <w:t>. Mr Walshaw was</w:t>
      </w:r>
      <w:r w:rsidR="00656EB2">
        <w:rPr>
          <w:rFonts w:ascii="Times New Roman" w:hAnsi="Times New Roman"/>
          <w:sz w:val="24"/>
        </w:rPr>
        <w:t xml:space="preserve"> initially clear when asked, but subsequently confused, </w:t>
      </w:r>
      <w:r w:rsidR="005D5519">
        <w:rPr>
          <w:rFonts w:ascii="Times New Roman" w:hAnsi="Times New Roman"/>
          <w:sz w:val="24"/>
        </w:rPr>
        <w:t xml:space="preserve">as to whether this was a positive or negative </w:t>
      </w:r>
      <w:r w:rsidR="00093B2B">
        <w:rPr>
          <w:rFonts w:ascii="Times New Roman" w:hAnsi="Times New Roman"/>
          <w:sz w:val="24"/>
        </w:rPr>
        <w:t>characteristic of the area. His first position was clear that this is a negative feature. And that is plainly right.</w:t>
      </w:r>
      <w:r w:rsidR="006729CC">
        <w:rPr>
          <w:rFonts w:ascii="Times New Roman" w:hAnsi="Times New Roman"/>
          <w:sz w:val="24"/>
        </w:rPr>
        <w:t xml:space="preserve"> He revisited the point on</w:t>
      </w:r>
      <w:r w:rsidR="008D13B9">
        <w:rPr>
          <w:rFonts w:ascii="Times New Roman" w:hAnsi="Times New Roman"/>
          <w:sz w:val="24"/>
        </w:rPr>
        <w:t xml:space="preserve"> realisation that this was also </w:t>
      </w:r>
      <w:r w:rsidR="008D13B9">
        <w:rPr>
          <w:rFonts w:ascii="Times New Roman" w:hAnsi="Times New Roman"/>
          <w:sz w:val="24"/>
        </w:rPr>
        <w:lastRenderedPageBreak/>
        <w:t>a feature of his design. However, even then, he accepted that the striking feature identified at his paragraph 3.12 was a negative one</w:t>
      </w:r>
      <w:r w:rsidR="00A85A9E">
        <w:rPr>
          <w:rFonts w:ascii="Times New Roman" w:hAnsi="Times New Roman"/>
          <w:sz w:val="24"/>
        </w:rPr>
        <w:t xml:space="preserve"> (although he added by itself). </w:t>
      </w:r>
      <w:r w:rsidR="00093B2B">
        <w:rPr>
          <w:rFonts w:ascii="Times New Roman" w:hAnsi="Times New Roman"/>
          <w:sz w:val="24"/>
        </w:rPr>
        <w:t xml:space="preserve"> </w:t>
      </w:r>
    </w:p>
    <w:p w14:paraId="5226D1BF" w14:textId="77777777" w:rsidR="007A3EE6" w:rsidRPr="007A3EE6" w:rsidRDefault="007A3EE6" w:rsidP="007A3EE6">
      <w:pPr>
        <w:pStyle w:val="ListParagraph"/>
        <w:rPr>
          <w:rFonts w:ascii="Times New Roman" w:hAnsi="Times New Roman"/>
          <w:sz w:val="24"/>
        </w:rPr>
      </w:pPr>
    </w:p>
    <w:p w14:paraId="76BE5464" w14:textId="43DB4529" w:rsidR="00C42252" w:rsidRDefault="007A3EE6"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A second key characteristic identified is </w:t>
      </w:r>
      <w:r w:rsidR="0069366D">
        <w:rPr>
          <w:rFonts w:ascii="Times New Roman" w:hAnsi="Times New Roman"/>
          <w:sz w:val="24"/>
        </w:rPr>
        <w:t xml:space="preserve">that the development often </w:t>
      </w:r>
      <w:r w:rsidR="0088454D">
        <w:rPr>
          <w:rFonts w:ascii="Times New Roman" w:hAnsi="Times New Roman"/>
          <w:sz w:val="24"/>
        </w:rPr>
        <w:t>turns its back or sides on to</w:t>
      </w:r>
      <w:r w:rsidR="00EE7D12">
        <w:rPr>
          <w:rFonts w:ascii="Times New Roman" w:hAnsi="Times New Roman"/>
          <w:sz w:val="24"/>
        </w:rPr>
        <w:t xml:space="preserve"> </w:t>
      </w:r>
      <w:r w:rsidR="0082043A">
        <w:rPr>
          <w:rFonts w:ascii="Times New Roman" w:hAnsi="Times New Roman"/>
          <w:sz w:val="24"/>
        </w:rPr>
        <w:t>site edges</w:t>
      </w:r>
      <w:r w:rsidR="00EE7D12">
        <w:rPr>
          <w:rFonts w:ascii="Times New Roman" w:hAnsi="Times New Roman"/>
          <w:sz w:val="24"/>
        </w:rPr>
        <w:t xml:space="preserve"> and trees</w:t>
      </w:r>
      <w:r w:rsidR="005F2B4D">
        <w:rPr>
          <w:rFonts w:ascii="Times New Roman" w:hAnsi="Times New Roman"/>
          <w:sz w:val="24"/>
        </w:rPr>
        <w:t xml:space="preserve"> with no active frontage which is described as “poorly conceived”</w:t>
      </w:r>
      <w:r w:rsidR="005F2B4D">
        <w:rPr>
          <w:rStyle w:val="FootnoteReference"/>
          <w:rFonts w:ascii="Times New Roman" w:hAnsi="Times New Roman"/>
          <w:sz w:val="24"/>
        </w:rPr>
        <w:footnoteReference w:id="20"/>
      </w:r>
      <w:r w:rsidR="00226F1D">
        <w:rPr>
          <w:rFonts w:ascii="Times New Roman" w:hAnsi="Times New Roman"/>
          <w:sz w:val="24"/>
        </w:rPr>
        <w:t xml:space="preserve"> and creating “poor relati</w:t>
      </w:r>
      <w:r w:rsidR="00EE62B9">
        <w:rPr>
          <w:rFonts w:ascii="Times New Roman" w:hAnsi="Times New Roman"/>
          <w:sz w:val="24"/>
        </w:rPr>
        <w:t>onships”</w:t>
      </w:r>
      <w:r w:rsidR="00EE62B9">
        <w:rPr>
          <w:rStyle w:val="FootnoteReference"/>
          <w:rFonts w:ascii="Times New Roman" w:hAnsi="Times New Roman"/>
          <w:sz w:val="24"/>
        </w:rPr>
        <w:footnoteReference w:id="21"/>
      </w:r>
      <w:r w:rsidR="00C42252">
        <w:rPr>
          <w:rFonts w:ascii="Times New Roman" w:hAnsi="Times New Roman"/>
          <w:sz w:val="24"/>
        </w:rPr>
        <w:t xml:space="preserve">. </w:t>
      </w:r>
    </w:p>
    <w:p w14:paraId="3699C2CB" w14:textId="77777777" w:rsidR="00203F98" w:rsidRPr="00203F98" w:rsidRDefault="00203F98" w:rsidP="00203F98">
      <w:pPr>
        <w:pStyle w:val="ListParagraph"/>
        <w:rPr>
          <w:rFonts w:ascii="Times New Roman" w:hAnsi="Times New Roman"/>
          <w:sz w:val="24"/>
        </w:rPr>
      </w:pPr>
    </w:p>
    <w:p w14:paraId="6476A4B6" w14:textId="23C2C452" w:rsidR="00203F98" w:rsidRDefault="00203F98"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In his proof Mr Walshaw also recognised </w:t>
      </w:r>
      <w:r w:rsidR="00DA7C9E">
        <w:rPr>
          <w:rFonts w:ascii="Times New Roman" w:hAnsi="Times New Roman"/>
          <w:sz w:val="24"/>
        </w:rPr>
        <w:t xml:space="preserve">that the Brief had appreciated these shortcomings in the area and set out </w:t>
      </w:r>
      <w:r w:rsidR="00027E34">
        <w:rPr>
          <w:rFonts w:ascii="Times New Roman" w:hAnsi="Times New Roman"/>
          <w:sz w:val="24"/>
        </w:rPr>
        <w:t xml:space="preserve">to </w:t>
      </w:r>
      <w:r w:rsidR="005361A8">
        <w:rPr>
          <w:rFonts w:ascii="Times New Roman" w:hAnsi="Times New Roman"/>
          <w:sz w:val="24"/>
        </w:rPr>
        <w:t>“</w:t>
      </w:r>
      <w:r w:rsidR="005361A8" w:rsidRPr="00A85A9E">
        <w:rPr>
          <w:rFonts w:ascii="Times New Roman" w:hAnsi="Times New Roman"/>
          <w:sz w:val="24"/>
          <w:u w:val="single"/>
        </w:rPr>
        <w:t>correct</w:t>
      </w:r>
      <w:r w:rsidR="00027E34" w:rsidRPr="00A85A9E">
        <w:rPr>
          <w:rFonts w:ascii="Times New Roman" w:hAnsi="Times New Roman"/>
          <w:sz w:val="24"/>
          <w:u w:val="single"/>
        </w:rPr>
        <w:t>…</w:t>
      </w:r>
      <w:r w:rsidR="005361A8" w:rsidRPr="00A85A9E">
        <w:rPr>
          <w:rFonts w:ascii="Times New Roman" w:hAnsi="Times New Roman"/>
          <w:sz w:val="24"/>
          <w:u w:val="single"/>
        </w:rPr>
        <w:t xml:space="preserve"> this pattern of development</w:t>
      </w:r>
      <w:r w:rsidR="005361A8">
        <w:rPr>
          <w:rFonts w:ascii="Times New Roman" w:hAnsi="Times New Roman"/>
          <w:sz w:val="24"/>
        </w:rPr>
        <w:t xml:space="preserve">”. This is further confirmation that (a) replication of the prevailing pattern </w:t>
      </w:r>
      <w:r w:rsidR="004F2E01">
        <w:rPr>
          <w:rFonts w:ascii="Times New Roman" w:hAnsi="Times New Roman"/>
          <w:sz w:val="24"/>
        </w:rPr>
        <w:t xml:space="preserve">does not improve but harms the character and quality of the area and (b) is inconsistent with the Brief. </w:t>
      </w:r>
    </w:p>
    <w:p w14:paraId="7EB86541" w14:textId="77777777" w:rsidR="00C42252" w:rsidRPr="00C42252" w:rsidRDefault="00C42252" w:rsidP="00C42252">
      <w:pPr>
        <w:pStyle w:val="ListParagraph"/>
        <w:rPr>
          <w:rFonts w:ascii="Times New Roman" w:hAnsi="Times New Roman"/>
          <w:sz w:val="24"/>
        </w:rPr>
      </w:pPr>
    </w:p>
    <w:p w14:paraId="6D4CBD32" w14:textId="6654688D" w:rsidR="003D7F2A" w:rsidRDefault="00775CDD" w:rsidP="00633207">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As to the site, the Inspector will have the benefit of a detailed site visit. </w:t>
      </w:r>
      <w:r w:rsidR="007136FC">
        <w:rPr>
          <w:rFonts w:ascii="Times New Roman" w:hAnsi="Times New Roman"/>
          <w:sz w:val="24"/>
        </w:rPr>
        <w:t xml:space="preserve">Mr Topping refers to the site having an “intrinsic </w:t>
      </w:r>
      <w:r w:rsidR="0017068C">
        <w:rPr>
          <w:rFonts w:ascii="Times New Roman" w:hAnsi="Times New Roman"/>
          <w:sz w:val="24"/>
        </w:rPr>
        <w:t xml:space="preserve">green </w:t>
      </w:r>
      <w:r w:rsidR="007136FC">
        <w:rPr>
          <w:rFonts w:ascii="Times New Roman" w:hAnsi="Times New Roman"/>
          <w:sz w:val="24"/>
        </w:rPr>
        <w:t>and open character”</w:t>
      </w:r>
      <w:r w:rsidR="007136FC">
        <w:rPr>
          <w:rStyle w:val="FootnoteReference"/>
          <w:rFonts w:ascii="Times New Roman" w:hAnsi="Times New Roman"/>
          <w:sz w:val="24"/>
        </w:rPr>
        <w:footnoteReference w:id="22"/>
      </w:r>
      <w:r w:rsidR="00D01A66">
        <w:rPr>
          <w:rFonts w:ascii="Times New Roman" w:hAnsi="Times New Roman"/>
          <w:sz w:val="24"/>
        </w:rPr>
        <w:t xml:space="preserve"> (albeit his judgment is that the</w:t>
      </w:r>
      <w:r w:rsidR="0082410C">
        <w:rPr>
          <w:rFonts w:ascii="Times New Roman" w:hAnsi="Times New Roman"/>
          <w:sz w:val="24"/>
        </w:rPr>
        <w:t xml:space="preserve"> appeal scheme preserves it)</w:t>
      </w:r>
      <w:r w:rsidR="007136FC">
        <w:rPr>
          <w:rFonts w:ascii="Times New Roman" w:hAnsi="Times New Roman"/>
          <w:sz w:val="24"/>
        </w:rPr>
        <w:t xml:space="preserve">. </w:t>
      </w:r>
      <w:r w:rsidR="003D7F2A">
        <w:rPr>
          <w:rFonts w:ascii="Times New Roman" w:hAnsi="Times New Roman"/>
          <w:sz w:val="24"/>
        </w:rPr>
        <w:t xml:space="preserve">The site is entirely greenfield, and the extent of tree groups is clearly shown on the tree </w:t>
      </w:r>
      <w:r w:rsidR="00CD1D7B">
        <w:rPr>
          <w:rFonts w:ascii="Times New Roman" w:hAnsi="Times New Roman"/>
          <w:sz w:val="24"/>
        </w:rPr>
        <w:t>constraints</w:t>
      </w:r>
      <w:r w:rsidR="003D7F2A">
        <w:rPr>
          <w:rFonts w:ascii="Times New Roman" w:hAnsi="Times New Roman"/>
          <w:sz w:val="24"/>
        </w:rPr>
        <w:t xml:space="preserve"> plan (CD1.10B). </w:t>
      </w:r>
    </w:p>
    <w:p w14:paraId="67C1835C" w14:textId="77777777" w:rsidR="00CD1D7B" w:rsidRPr="00CD1D7B" w:rsidRDefault="00CD1D7B" w:rsidP="00CD1D7B">
      <w:pPr>
        <w:pStyle w:val="ListParagraph"/>
        <w:rPr>
          <w:rFonts w:ascii="Times New Roman" w:hAnsi="Times New Roman"/>
          <w:sz w:val="24"/>
        </w:rPr>
      </w:pPr>
    </w:p>
    <w:p w14:paraId="7317811F" w14:textId="76CF6A8B" w:rsidR="00CD1D7B" w:rsidRDefault="00CD1D7B" w:rsidP="00CD1D7B">
      <w:pPr>
        <w:spacing w:line="360" w:lineRule="auto"/>
        <w:jc w:val="both"/>
        <w:rPr>
          <w:rFonts w:ascii="Times New Roman" w:hAnsi="Times New Roman"/>
          <w:sz w:val="24"/>
        </w:rPr>
      </w:pPr>
      <w:r>
        <w:rPr>
          <w:rFonts w:ascii="Times New Roman" w:hAnsi="Times New Roman"/>
          <w:sz w:val="24"/>
          <w:u w:val="single"/>
        </w:rPr>
        <w:t>The Scheme</w:t>
      </w:r>
    </w:p>
    <w:p w14:paraId="0E3749AA" w14:textId="45A035D7" w:rsidR="00CD1D7B" w:rsidRDefault="00CC10F9" w:rsidP="00CD1D7B">
      <w:pPr>
        <w:pStyle w:val="ListParagraph"/>
        <w:numPr>
          <w:ilvl w:val="0"/>
          <w:numId w:val="1"/>
        </w:numPr>
        <w:spacing w:line="360" w:lineRule="auto"/>
        <w:jc w:val="both"/>
        <w:rPr>
          <w:rFonts w:ascii="Times New Roman" w:hAnsi="Times New Roman"/>
          <w:sz w:val="24"/>
        </w:rPr>
      </w:pPr>
      <w:r>
        <w:rPr>
          <w:rFonts w:ascii="Times New Roman" w:hAnsi="Times New Roman"/>
          <w:sz w:val="24"/>
        </w:rPr>
        <w:t>It is common ground that proposals must add to the quality of the area</w:t>
      </w:r>
      <w:r w:rsidR="00FC60D5">
        <w:rPr>
          <w:rFonts w:ascii="Times New Roman" w:hAnsi="Times New Roman"/>
          <w:sz w:val="24"/>
        </w:rPr>
        <w:t>, be sympathetic to local character including landscape setting, and optimise the potential of the site to accommodate</w:t>
      </w:r>
      <w:r w:rsidR="00E20FF7">
        <w:rPr>
          <w:rFonts w:ascii="Times New Roman" w:hAnsi="Times New Roman"/>
          <w:sz w:val="24"/>
        </w:rPr>
        <w:t xml:space="preserve"> an appropriate amount and mix of development including green space</w:t>
      </w:r>
      <w:r w:rsidR="00A7234B">
        <w:rPr>
          <w:rFonts w:ascii="Times New Roman" w:hAnsi="Times New Roman"/>
          <w:sz w:val="24"/>
        </w:rPr>
        <w:t xml:space="preserve"> (NPPF 127), and that if opportunities to improve the character and </w:t>
      </w:r>
      <w:r w:rsidR="008E1BA8">
        <w:rPr>
          <w:rFonts w:ascii="Times New Roman" w:hAnsi="Times New Roman"/>
          <w:sz w:val="24"/>
        </w:rPr>
        <w:t>quality of an area are not taken the development should be refused</w:t>
      </w:r>
      <w:r w:rsidR="00E90533">
        <w:rPr>
          <w:rFonts w:ascii="Times New Roman" w:hAnsi="Times New Roman"/>
          <w:sz w:val="24"/>
        </w:rPr>
        <w:t xml:space="preserve"> (130)</w:t>
      </w:r>
      <w:r w:rsidR="008E1BA8">
        <w:rPr>
          <w:rFonts w:ascii="Times New Roman" w:hAnsi="Times New Roman"/>
          <w:sz w:val="24"/>
        </w:rPr>
        <w:t xml:space="preserve">. </w:t>
      </w:r>
    </w:p>
    <w:p w14:paraId="4B213C77" w14:textId="6DC5C542" w:rsidR="008E1BA8" w:rsidRDefault="008E1BA8" w:rsidP="008E1BA8">
      <w:pPr>
        <w:pStyle w:val="ListParagraph"/>
        <w:spacing w:line="360" w:lineRule="auto"/>
        <w:jc w:val="both"/>
        <w:rPr>
          <w:rFonts w:ascii="Times New Roman" w:hAnsi="Times New Roman"/>
          <w:sz w:val="24"/>
        </w:rPr>
      </w:pPr>
    </w:p>
    <w:p w14:paraId="6DF3B5AD" w14:textId="3BF57659" w:rsidR="008E1BA8" w:rsidRDefault="007B7B54" w:rsidP="00CD1D7B">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And yet Mr Walshaw’s evidence </w:t>
      </w:r>
      <w:r w:rsidR="002452B8">
        <w:rPr>
          <w:rFonts w:ascii="Times New Roman" w:hAnsi="Times New Roman"/>
          <w:sz w:val="24"/>
        </w:rPr>
        <w:t>is clear that</w:t>
      </w:r>
      <w:r w:rsidR="00095E2F">
        <w:rPr>
          <w:rFonts w:ascii="Times New Roman" w:hAnsi="Times New Roman"/>
          <w:sz w:val="24"/>
        </w:rPr>
        <w:t xml:space="preserve"> the proposed development “replicates”</w:t>
      </w:r>
      <w:r w:rsidR="001F256A">
        <w:rPr>
          <w:rStyle w:val="FootnoteReference"/>
          <w:rFonts w:ascii="Times New Roman" w:hAnsi="Times New Roman"/>
          <w:sz w:val="24"/>
        </w:rPr>
        <w:footnoteReference w:id="23"/>
      </w:r>
      <w:r w:rsidR="00687831">
        <w:rPr>
          <w:rFonts w:ascii="Times New Roman" w:hAnsi="Times New Roman"/>
          <w:sz w:val="24"/>
        </w:rPr>
        <w:t xml:space="preserve"> the prevailing character and setting of the area</w:t>
      </w:r>
      <w:r w:rsidR="000E3A95">
        <w:rPr>
          <w:rFonts w:ascii="Times New Roman" w:hAnsi="Times New Roman"/>
          <w:sz w:val="24"/>
        </w:rPr>
        <w:t xml:space="preserve"> with its urban core and green space around the edges</w:t>
      </w:r>
      <w:r w:rsidR="001F256A">
        <w:rPr>
          <w:rFonts w:ascii="Times New Roman" w:hAnsi="Times New Roman"/>
          <w:sz w:val="24"/>
        </w:rPr>
        <w:t>.</w:t>
      </w:r>
      <w:r w:rsidR="00C31660">
        <w:rPr>
          <w:rFonts w:ascii="Times New Roman" w:hAnsi="Times New Roman"/>
          <w:sz w:val="24"/>
        </w:rPr>
        <w:t xml:space="preserve"> These estates are identified a</w:t>
      </w:r>
      <w:r w:rsidR="00F24FE4">
        <w:rPr>
          <w:rFonts w:ascii="Times New Roman" w:hAnsi="Times New Roman"/>
          <w:sz w:val="24"/>
        </w:rPr>
        <w:t>s</w:t>
      </w:r>
      <w:r w:rsidR="00C31660">
        <w:rPr>
          <w:rFonts w:ascii="Times New Roman" w:hAnsi="Times New Roman"/>
          <w:sz w:val="24"/>
        </w:rPr>
        <w:t xml:space="preserve"> </w:t>
      </w:r>
      <w:r w:rsidR="00BA2B7F">
        <w:rPr>
          <w:rFonts w:ascii="Times New Roman" w:hAnsi="Times New Roman"/>
          <w:sz w:val="24"/>
        </w:rPr>
        <w:t>comprising</w:t>
      </w:r>
      <w:r w:rsidR="00C31660">
        <w:rPr>
          <w:rFonts w:ascii="Times New Roman" w:hAnsi="Times New Roman"/>
          <w:sz w:val="24"/>
        </w:rPr>
        <w:t xml:space="preserve"> “large blocks of housing development encircled by connected green spaces and with very little green space</w:t>
      </w:r>
      <w:r w:rsidR="00E209C4">
        <w:rPr>
          <w:rFonts w:ascii="Times New Roman" w:hAnsi="Times New Roman"/>
          <w:sz w:val="24"/>
        </w:rPr>
        <w:t xml:space="preserve"> permeating these estates</w:t>
      </w:r>
      <w:r w:rsidR="00E209C4">
        <w:rPr>
          <w:rStyle w:val="FootnoteReference"/>
          <w:rFonts w:ascii="Times New Roman" w:hAnsi="Times New Roman"/>
          <w:sz w:val="24"/>
        </w:rPr>
        <w:footnoteReference w:id="24"/>
      </w:r>
      <w:r w:rsidR="00E209C4">
        <w:rPr>
          <w:rFonts w:ascii="Times New Roman" w:hAnsi="Times New Roman"/>
          <w:sz w:val="24"/>
        </w:rPr>
        <w:t>”; and this pattern is again “replicated”</w:t>
      </w:r>
      <w:r w:rsidR="00976EA0">
        <w:rPr>
          <w:rFonts w:ascii="Times New Roman" w:hAnsi="Times New Roman"/>
          <w:sz w:val="24"/>
        </w:rPr>
        <w:t xml:space="preserve"> by the appeal proposals and allegedly the Brief in setting “a vision for another urban block of housing</w:t>
      </w:r>
      <w:r w:rsidR="003A4FB5">
        <w:rPr>
          <w:rFonts w:ascii="Times New Roman" w:hAnsi="Times New Roman"/>
          <w:sz w:val="24"/>
        </w:rPr>
        <w:t xml:space="preserve"> </w:t>
      </w:r>
      <w:r w:rsidR="003A4FB5">
        <w:rPr>
          <w:rFonts w:ascii="Times New Roman" w:hAnsi="Times New Roman"/>
          <w:sz w:val="24"/>
        </w:rPr>
        <w:lastRenderedPageBreak/>
        <w:t>with very limited internal green spaces and a strong green necklace of open space around the edges”</w:t>
      </w:r>
      <w:r w:rsidR="00F61016">
        <w:rPr>
          <w:rStyle w:val="FootnoteReference"/>
          <w:rFonts w:ascii="Times New Roman" w:hAnsi="Times New Roman"/>
          <w:sz w:val="24"/>
        </w:rPr>
        <w:footnoteReference w:id="25"/>
      </w:r>
      <w:r w:rsidR="003A4FB5">
        <w:rPr>
          <w:rFonts w:ascii="Times New Roman" w:hAnsi="Times New Roman"/>
          <w:sz w:val="24"/>
        </w:rPr>
        <w:t xml:space="preserve">. </w:t>
      </w:r>
    </w:p>
    <w:p w14:paraId="2BB7E78B" w14:textId="77777777" w:rsidR="001D4B9B" w:rsidRPr="001D4B9B" w:rsidRDefault="001D4B9B" w:rsidP="001D4B9B">
      <w:pPr>
        <w:pStyle w:val="ListParagraph"/>
        <w:rPr>
          <w:rFonts w:ascii="Times New Roman" w:hAnsi="Times New Roman"/>
          <w:sz w:val="24"/>
        </w:rPr>
      </w:pPr>
    </w:p>
    <w:p w14:paraId="18450AB1" w14:textId="0E0F578A" w:rsidR="001D4B9B" w:rsidRDefault="00D727C2" w:rsidP="00CD1D7B">
      <w:pPr>
        <w:pStyle w:val="ListParagraph"/>
        <w:numPr>
          <w:ilvl w:val="0"/>
          <w:numId w:val="1"/>
        </w:numPr>
        <w:spacing w:line="360" w:lineRule="auto"/>
        <w:jc w:val="both"/>
        <w:rPr>
          <w:rFonts w:ascii="Times New Roman" w:hAnsi="Times New Roman"/>
          <w:sz w:val="24"/>
        </w:rPr>
      </w:pPr>
      <w:r>
        <w:rPr>
          <w:rFonts w:ascii="Times New Roman" w:hAnsi="Times New Roman"/>
          <w:sz w:val="24"/>
        </w:rPr>
        <w:t>It is therefore impossible to see how Mr Walshaw’s evidence and design approach is</w:t>
      </w:r>
      <w:r w:rsidR="008C2A44">
        <w:rPr>
          <w:rFonts w:ascii="Times New Roman" w:hAnsi="Times New Roman"/>
          <w:sz w:val="24"/>
        </w:rPr>
        <w:t xml:space="preserve"> consistent with national or local policy, and represents a significant failure to take the opportunities that the site presents (as is required). </w:t>
      </w:r>
      <w:r w:rsidR="001D4B9B">
        <w:rPr>
          <w:rFonts w:ascii="Times New Roman" w:hAnsi="Times New Roman"/>
          <w:sz w:val="24"/>
        </w:rPr>
        <w:t xml:space="preserve">His </w:t>
      </w:r>
      <w:r w:rsidR="00295F50">
        <w:rPr>
          <w:rFonts w:ascii="Times New Roman" w:hAnsi="Times New Roman"/>
          <w:sz w:val="24"/>
        </w:rPr>
        <w:t xml:space="preserve">approach to the site </w:t>
      </w:r>
      <w:r w:rsidR="00BF11B8">
        <w:rPr>
          <w:rFonts w:ascii="Times New Roman" w:hAnsi="Times New Roman"/>
          <w:sz w:val="24"/>
        </w:rPr>
        <w:t xml:space="preserve">replicates </w:t>
      </w:r>
      <w:r w:rsidR="00295F50">
        <w:rPr>
          <w:rFonts w:ascii="Times New Roman" w:hAnsi="Times New Roman"/>
          <w:sz w:val="24"/>
        </w:rPr>
        <w:t>key and striking</w:t>
      </w:r>
      <w:r w:rsidR="00BF11B8">
        <w:rPr>
          <w:rFonts w:ascii="Times New Roman" w:hAnsi="Times New Roman"/>
          <w:sz w:val="24"/>
        </w:rPr>
        <w:t xml:space="preserve"> characteristics of the area which he himself – on reflection – identified as </w:t>
      </w:r>
      <w:r w:rsidR="00374E0F">
        <w:rPr>
          <w:rFonts w:ascii="Times New Roman" w:hAnsi="Times New Roman"/>
          <w:sz w:val="24"/>
        </w:rPr>
        <w:t>negative characteristic</w:t>
      </w:r>
      <w:r w:rsidR="00292DEE">
        <w:rPr>
          <w:rFonts w:ascii="Times New Roman" w:hAnsi="Times New Roman"/>
          <w:sz w:val="24"/>
        </w:rPr>
        <w:t>s</w:t>
      </w:r>
      <w:r w:rsidR="00374E0F">
        <w:rPr>
          <w:rFonts w:ascii="Times New Roman" w:hAnsi="Times New Roman"/>
          <w:sz w:val="24"/>
        </w:rPr>
        <w:t>. Mr Walshaw also saw the provision of</w:t>
      </w:r>
      <w:r w:rsidR="00A06FF0">
        <w:rPr>
          <w:rFonts w:ascii="Times New Roman" w:hAnsi="Times New Roman"/>
          <w:sz w:val="24"/>
        </w:rPr>
        <w:t xml:space="preserve"> “another urban block of housing with very limited internal green space” as the “vision” of the Brief</w:t>
      </w:r>
      <w:r w:rsidR="00A06FF0">
        <w:rPr>
          <w:rStyle w:val="FootnoteReference"/>
          <w:rFonts w:ascii="Times New Roman" w:hAnsi="Times New Roman"/>
          <w:sz w:val="24"/>
        </w:rPr>
        <w:footnoteReference w:id="26"/>
      </w:r>
      <w:r w:rsidR="00A06FF0">
        <w:rPr>
          <w:rFonts w:ascii="Times New Roman" w:hAnsi="Times New Roman"/>
          <w:sz w:val="24"/>
        </w:rPr>
        <w:t xml:space="preserve">. </w:t>
      </w:r>
      <w:r w:rsidR="00DA48CC">
        <w:rPr>
          <w:rFonts w:ascii="Times New Roman" w:hAnsi="Times New Roman"/>
          <w:sz w:val="24"/>
        </w:rPr>
        <w:t xml:space="preserve">This really underscores the errors of the Appellant in understanding the site and the Brief. </w:t>
      </w:r>
      <w:r w:rsidR="0027410F">
        <w:rPr>
          <w:rFonts w:ascii="Times New Roman" w:hAnsi="Times New Roman"/>
          <w:sz w:val="24"/>
        </w:rPr>
        <w:t>It also underscores the nature of the opportunity to improve the character and quality</w:t>
      </w:r>
      <w:r w:rsidR="002E4149">
        <w:rPr>
          <w:rFonts w:ascii="Times New Roman" w:hAnsi="Times New Roman"/>
          <w:sz w:val="24"/>
        </w:rPr>
        <w:t xml:space="preserve"> of the area not being taken, which was identified expressly in the Brief: Optimising the greenfield character, topography and landscape value of the sites and context</w:t>
      </w:r>
      <w:r w:rsidR="005D2571">
        <w:rPr>
          <w:rStyle w:val="FootnoteReference"/>
          <w:rFonts w:ascii="Times New Roman" w:hAnsi="Times New Roman"/>
          <w:sz w:val="24"/>
        </w:rPr>
        <w:footnoteReference w:id="27"/>
      </w:r>
      <w:r w:rsidR="002E4149">
        <w:rPr>
          <w:rFonts w:ascii="Times New Roman" w:hAnsi="Times New Roman"/>
          <w:sz w:val="24"/>
        </w:rPr>
        <w:t>.</w:t>
      </w:r>
    </w:p>
    <w:p w14:paraId="6CA2F91B" w14:textId="77777777" w:rsidR="000533BC" w:rsidRPr="000533BC" w:rsidRDefault="000533BC" w:rsidP="000533BC">
      <w:pPr>
        <w:pStyle w:val="ListParagraph"/>
        <w:rPr>
          <w:rFonts w:ascii="Times New Roman" w:hAnsi="Times New Roman"/>
          <w:sz w:val="24"/>
        </w:rPr>
      </w:pPr>
    </w:p>
    <w:p w14:paraId="2E757F57" w14:textId="7D6CBD42" w:rsidR="000533BC" w:rsidRDefault="005D2571" w:rsidP="00CD1D7B">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Obviously, the </w:t>
      </w:r>
      <w:r w:rsidR="000A644D">
        <w:rPr>
          <w:rFonts w:ascii="Times New Roman" w:hAnsi="Times New Roman"/>
          <w:sz w:val="24"/>
        </w:rPr>
        <w:t xml:space="preserve">Council </w:t>
      </w:r>
      <w:r>
        <w:rPr>
          <w:rFonts w:ascii="Times New Roman" w:hAnsi="Times New Roman"/>
          <w:sz w:val="24"/>
        </w:rPr>
        <w:t xml:space="preserve">relies on the evidence of Mrs Hull and that is not </w:t>
      </w:r>
      <w:r w:rsidR="00810F1B">
        <w:rPr>
          <w:rFonts w:ascii="Times New Roman" w:hAnsi="Times New Roman"/>
          <w:sz w:val="24"/>
        </w:rPr>
        <w:t>repeated in any detail. The following points may serve as a helpful aide-memoire:</w:t>
      </w:r>
    </w:p>
    <w:p w14:paraId="24D18945" w14:textId="77777777" w:rsidR="00810F1B" w:rsidRPr="00810F1B" w:rsidRDefault="00810F1B" w:rsidP="00810F1B">
      <w:pPr>
        <w:pStyle w:val="ListParagraph"/>
        <w:rPr>
          <w:rFonts w:ascii="Times New Roman" w:hAnsi="Times New Roman"/>
          <w:sz w:val="24"/>
        </w:rPr>
      </w:pPr>
    </w:p>
    <w:p w14:paraId="60FB53FA" w14:textId="31587A6A" w:rsidR="00810F1B" w:rsidRDefault="00C06075" w:rsidP="00C06075">
      <w:pPr>
        <w:pStyle w:val="ListParagraph"/>
        <w:numPr>
          <w:ilvl w:val="0"/>
          <w:numId w:val="4"/>
        </w:numPr>
        <w:spacing w:line="360" w:lineRule="auto"/>
        <w:jc w:val="both"/>
        <w:rPr>
          <w:rFonts w:ascii="Times New Roman" w:hAnsi="Times New Roman"/>
          <w:sz w:val="24"/>
        </w:rPr>
      </w:pPr>
      <w:r>
        <w:rPr>
          <w:rFonts w:ascii="Times New Roman" w:hAnsi="Times New Roman"/>
          <w:sz w:val="24"/>
        </w:rPr>
        <w:t>The appeal proposals are fairly described, consistent with Mr Walshaw’s evidence</w:t>
      </w:r>
      <w:r w:rsidR="00941EA1">
        <w:rPr>
          <w:rFonts w:ascii="Times New Roman" w:hAnsi="Times New Roman"/>
          <w:sz w:val="24"/>
        </w:rPr>
        <w:t>,</w:t>
      </w:r>
      <w:r w:rsidR="00397B4E">
        <w:rPr>
          <w:rFonts w:ascii="Times New Roman" w:hAnsi="Times New Roman"/>
          <w:sz w:val="24"/>
        </w:rPr>
        <w:t xml:space="preserve"> as a</w:t>
      </w:r>
      <w:r w:rsidR="004C0836">
        <w:rPr>
          <w:rFonts w:ascii="Times New Roman" w:hAnsi="Times New Roman"/>
          <w:sz w:val="24"/>
        </w:rPr>
        <w:t xml:space="preserve"> large</w:t>
      </w:r>
      <w:r w:rsidR="00397B4E">
        <w:rPr>
          <w:rFonts w:ascii="Times New Roman" w:hAnsi="Times New Roman"/>
          <w:sz w:val="24"/>
        </w:rPr>
        <w:t xml:space="preserve"> block of housing</w:t>
      </w:r>
      <w:r w:rsidR="004C0836">
        <w:rPr>
          <w:rFonts w:ascii="Times New Roman" w:hAnsi="Times New Roman"/>
          <w:sz w:val="24"/>
        </w:rPr>
        <w:t xml:space="preserve"> development</w:t>
      </w:r>
      <w:r w:rsidR="00397B4E">
        <w:rPr>
          <w:rFonts w:ascii="Times New Roman" w:hAnsi="Times New Roman"/>
          <w:sz w:val="24"/>
        </w:rPr>
        <w:t xml:space="preserve"> with </w:t>
      </w:r>
      <w:r w:rsidR="00941EA1">
        <w:rPr>
          <w:rFonts w:ascii="Times New Roman" w:hAnsi="Times New Roman"/>
          <w:sz w:val="24"/>
        </w:rPr>
        <w:t>very little green space permeating</w:t>
      </w:r>
      <w:r w:rsidR="00941EA1">
        <w:rPr>
          <w:rStyle w:val="FootnoteReference"/>
          <w:rFonts w:ascii="Times New Roman" w:hAnsi="Times New Roman"/>
          <w:sz w:val="24"/>
        </w:rPr>
        <w:footnoteReference w:id="28"/>
      </w:r>
      <w:r w:rsidR="00941EA1">
        <w:rPr>
          <w:rFonts w:ascii="Times New Roman" w:hAnsi="Times New Roman"/>
          <w:sz w:val="24"/>
        </w:rPr>
        <w:t xml:space="preserve">, </w:t>
      </w:r>
      <w:r w:rsidR="00794418">
        <w:rPr>
          <w:rFonts w:ascii="Times New Roman" w:hAnsi="Times New Roman"/>
          <w:sz w:val="24"/>
        </w:rPr>
        <w:t>another urban block of housing with very limited internal green spaces</w:t>
      </w:r>
      <w:r w:rsidR="00794418">
        <w:rPr>
          <w:rStyle w:val="FootnoteReference"/>
          <w:rFonts w:ascii="Times New Roman" w:hAnsi="Times New Roman"/>
          <w:sz w:val="24"/>
        </w:rPr>
        <w:footnoteReference w:id="29"/>
      </w:r>
      <w:r w:rsidR="00794418">
        <w:rPr>
          <w:rFonts w:ascii="Times New Roman" w:hAnsi="Times New Roman"/>
          <w:sz w:val="24"/>
        </w:rPr>
        <w:t xml:space="preserve">, </w:t>
      </w:r>
      <w:r w:rsidR="00A10A91">
        <w:rPr>
          <w:rFonts w:ascii="Times New Roman" w:hAnsi="Times New Roman"/>
          <w:sz w:val="24"/>
        </w:rPr>
        <w:t>a large block of housing development with no notable internal greenspaces breaking up the built form</w:t>
      </w:r>
      <w:r w:rsidR="00A10A91">
        <w:rPr>
          <w:rStyle w:val="FootnoteReference"/>
          <w:rFonts w:ascii="Times New Roman" w:hAnsi="Times New Roman"/>
          <w:sz w:val="24"/>
        </w:rPr>
        <w:footnoteReference w:id="30"/>
      </w:r>
      <w:r w:rsidR="008424B5">
        <w:rPr>
          <w:rFonts w:ascii="Times New Roman" w:hAnsi="Times New Roman"/>
          <w:sz w:val="24"/>
        </w:rPr>
        <w:t xml:space="preserve">. </w:t>
      </w:r>
      <w:r w:rsidR="004B6CEF">
        <w:rPr>
          <w:rFonts w:ascii="Times New Roman" w:hAnsi="Times New Roman"/>
          <w:sz w:val="24"/>
        </w:rPr>
        <w:t xml:space="preserve">This is a </w:t>
      </w:r>
      <w:r w:rsidR="00D835E1">
        <w:rPr>
          <w:rFonts w:ascii="Times New Roman" w:hAnsi="Times New Roman"/>
          <w:sz w:val="24"/>
        </w:rPr>
        <w:t>key negative feature of the scheme.</w:t>
      </w:r>
    </w:p>
    <w:p w14:paraId="392A0899" w14:textId="0CFDD8A1" w:rsidR="008424B5" w:rsidRDefault="00691191" w:rsidP="00C06075">
      <w:pPr>
        <w:pStyle w:val="ListParagraph"/>
        <w:numPr>
          <w:ilvl w:val="0"/>
          <w:numId w:val="4"/>
        </w:numPr>
        <w:spacing w:line="360" w:lineRule="auto"/>
        <w:jc w:val="both"/>
        <w:rPr>
          <w:rFonts w:ascii="Times New Roman" w:hAnsi="Times New Roman"/>
          <w:sz w:val="24"/>
        </w:rPr>
      </w:pPr>
      <w:r>
        <w:rPr>
          <w:rFonts w:ascii="Times New Roman" w:hAnsi="Times New Roman"/>
          <w:sz w:val="24"/>
          <w:u w:val="single"/>
        </w:rPr>
        <w:t>Overall character/balance of green space/green infrastructure and hard built form</w:t>
      </w:r>
      <w:r>
        <w:rPr>
          <w:rFonts w:ascii="Times New Roman" w:hAnsi="Times New Roman"/>
          <w:sz w:val="24"/>
        </w:rPr>
        <w:t>: T</w:t>
      </w:r>
      <w:r w:rsidR="009F3FFE">
        <w:rPr>
          <w:rFonts w:ascii="Times New Roman" w:hAnsi="Times New Roman"/>
          <w:sz w:val="24"/>
        </w:rPr>
        <w:t xml:space="preserve">his can be seen clearly by considering the tree loss and </w:t>
      </w:r>
      <w:r w:rsidR="00BE0661">
        <w:rPr>
          <w:rFonts w:ascii="Times New Roman" w:hAnsi="Times New Roman"/>
          <w:sz w:val="24"/>
        </w:rPr>
        <w:t>landscaping proposals. Notwithstanding the considerable groups of woodland across the site (which are plainly natural features of the site</w:t>
      </w:r>
      <w:r w:rsidR="000611D7">
        <w:rPr>
          <w:rFonts w:ascii="Times New Roman" w:hAnsi="Times New Roman"/>
          <w:sz w:val="24"/>
        </w:rPr>
        <w:t xml:space="preserve">), the appeal proposals involve the loss of almost all the tree groups and individual trees across the site. </w:t>
      </w:r>
      <w:r w:rsidR="000115A2">
        <w:rPr>
          <w:rFonts w:ascii="Times New Roman" w:hAnsi="Times New Roman"/>
          <w:sz w:val="24"/>
        </w:rPr>
        <w:t>Only 43% of one tree group is retained</w:t>
      </w:r>
      <w:r w:rsidR="00737526">
        <w:rPr>
          <w:rFonts w:ascii="Times New Roman" w:hAnsi="Times New Roman"/>
          <w:sz w:val="24"/>
        </w:rPr>
        <w:t xml:space="preserve"> (the northern part of G9 in the north-eastern part of the site)</w:t>
      </w:r>
      <w:r w:rsidR="000115A2">
        <w:rPr>
          <w:rFonts w:ascii="Times New Roman" w:hAnsi="Times New Roman"/>
          <w:sz w:val="24"/>
        </w:rPr>
        <w:t xml:space="preserve">. </w:t>
      </w:r>
      <w:r w:rsidR="00EA2B69">
        <w:rPr>
          <w:rFonts w:ascii="Times New Roman" w:hAnsi="Times New Roman"/>
          <w:sz w:val="24"/>
        </w:rPr>
        <w:t>Over a hectare of land</w:t>
      </w:r>
      <w:r w:rsidR="007263C9">
        <w:rPr>
          <w:rFonts w:ascii="Times New Roman" w:hAnsi="Times New Roman"/>
          <w:sz w:val="24"/>
        </w:rPr>
        <w:t xml:space="preserve"> covered by woodland </w:t>
      </w:r>
      <w:r w:rsidR="007263C9">
        <w:rPr>
          <w:rFonts w:ascii="Times New Roman" w:hAnsi="Times New Roman"/>
          <w:sz w:val="24"/>
        </w:rPr>
        <w:lastRenderedPageBreak/>
        <w:t>tree groups are to be removed</w:t>
      </w:r>
      <w:r w:rsidR="007263C9">
        <w:rPr>
          <w:rStyle w:val="FootnoteReference"/>
          <w:rFonts w:ascii="Times New Roman" w:hAnsi="Times New Roman"/>
          <w:sz w:val="24"/>
        </w:rPr>
        <w:footnoteReference w:id="31"/>
      </w:r>
      <w:r w:rsidR="007263C9">
        <w:rPr>
          <w:rFonts w:ascii="Times New Roman" w:hAnsi="Times New Roman"/>
          <w:sz w:val="24"/>
        </w:rPr>
        <w:t xml:space="preserve">. </w:t>
      </w:r>
      <w:r w:rsidR="000115A2">
        <w:rPr>
          <w:rFonts w:ascii="Times New Roman" w:hAnsi="Times New Roman"/>
          <w:sz w:val="24"/>
        </w:rPr>
        <w:t xml:space="preserve">There is </w:t>
      </w:r>
      <w:r w:rsidR="00F3100D">
        <w:rPr>
          <w:rFonts w:ascii="Times New Roman" w:hAnsi="Times New Roman"/>
          <w:sz w:val="24"/>
        </w:rPr>
        <w:t>almost no planting proposed along the western o</w:t>
      </w:r>
      <w:r w:rsidR="00952716">
        <w:rPr>
          <w:rFonts w:ascii="Times New Roman" w:hAnsi="Times New Roman"/>
          <w:sz w:val="24"/>
        </w:rPr>
        <w:t>r</w:t>
      </w:r>
      <w:r w:rsidR="00F3100D">
        <w:rPr>
          <w:rFonts w:ascii="Times New Roman" w:hAnsi="Times New Roman"/>
          <w:sz w:val="24"/>
        </w:rPr>
        <w:t xml:space="preserve"> south-western boundaries </w:t>
      </w:r>
      <w:r w:rsidR="00197A20">
        <w:rPr>
          <w:rFonts w:ascii="Times New Roman" w:hAnsi="Times New Roman"/>
          <w:sz w:val="24"/>
        </w:rPr>
        <w:t>–</w:t>
      </w:r>
      <w:r w:rsidR="00F3100D">
        <w:rPr>
          <w:rFonts w:ascii="Times New Roman" w:hAnsi="Times New Roman"/>
          <w:sz w:val="24"/>
        </w:rPr>
        <w:t xml:space="preserve"> </w:t>
      </w:r>
      <w:r w:rsidR="00197A20">
        <w:rPr>
          <w:rFonts w:ascii="Times New Roman" w:hAnsi="Times New Roman"/>
          <w:sz w:val="24"/>
        </w:rPr>
        <w:t>see CD 1.14B</w:t>
      </w:r>
      <w:r w:rsidR="002243B8">
        <w:rPr>
          <w:rFonts w:ascii="Times New Roman" w:hAnsi="Times New Roman"/>
          <w:sz w:val="24"/>
        </w:rPr>
        <w:t xml:space="preserve">. There is nothing along the </w:t>
      </w:r>
      <w:r w:rsidR="00D5406C">
        <w:rPr>
          <w:rFonts w:ascii="Times New Roman" w:hAnsi="Times New Roman"/>
          <w:sz w:val="24"/>
        </w:rPr>
        <w:t>length of the western boundary, very limited planting in the corners, and no planting within the site at all on the le</w:t>
      </w:r>
      <w:r w:rsidR="0065187A">
        <w:rPr>
          <w:rFonts w:ascii="Times New Roman" w:hAnsi="Times New Roman"/>
          <w:sz w:val="24"/>
        </w:rPr>
        <w:t xml:space="preserve">ngth of the south-western boundary. This is despite these boundaries being identified as sensitive green edges in the Brief, to be addressed by active frontages and </w:t>
      </w:r>
      <w:r w:rsidR="00646D40">
        <w:rPr>
          <w:rFonts w:ascii="Times New Roman" w:hAnsi="Times New Roman"/>
          <w:sz w:val="24"/>
        </w:rPr>
        <w:t>through careful design at these frontages.</w:t>
      </w:r>
      <w:r w:rsidR="001121FC">
        <w:rPr>
          <w:rFonts w:ascii="Times New Roman" w:hAnsi="Times New Roman"/>
          <w:sz w:val="24"/>
        </w:rPr>
        <w:t xml:space="preserve"> The notion of a green necklace is overstated. The only real area of proposed planting is to the north. </w:t>
      </w:r>
      <w:r w:rsidR="00952716">
        <w:rPr>
          <w:rFonts w:ascii="Times New Roman" w:hAnsi="Times New Roman"/>
          <w:sz w:val="24"/>
        </w:rPr>
        <w:t xml:space="preserve"> </w:t>
      </w:r>
      <w:r w:rsidR="002A16AE">
        <w:rPr>
          <w:rFonts w:ascii="Times New Roman" w:hAnsi="Times New Roman"/>
          <w:sz w:val="24"/>
        </w:rPr>
        <w:t>N</w:t>
      </w:r>
      <w:r w:rsidR="00952716">
        <w:rPr>
          <w:rFonts w:ascii="Times New Roman" w:hAnsi="Times New Roman"/>
          <w:sz w:val="24"/>
        </w:rPr>
        <w:t xml:space="preserve">one of the building frontages along the western or south-western boundaries actually fronts on to the </w:t>
      </w:r>
      <w:r w:rsidR="00BF317D">
        <w:rPr>
          <w:rFonts w:ascii="Times New Roman" w:hAnsi="Times New Roman"/>
          <w:sz w:val="24"/>
        </w:rPr>
        <w:t xml:space="preserve">sensitive edge at all. </w:t>
      </w:r>
      <w:r w:rsidR="003049AB">
        <w:rPr>
          <w:rFonts w:ascii="Times New Roman" w:hAnsi="Times New Roman"/>
          <w:sz w:val="24"/>
        </w:rPr>
        <w:t xml:space="preserve"> There is very limited planting on road frontages, </w:t>
      </w:r>
      <w:r w:rsidR="00BF317D">
        <w:rPr>
          <w:rFonts w:ascii="Times New Roman" w:hAnsi="Times New Roman"/>
          <w:sz w:val="24"/>
        </w:rPr>
        <w:t>and it fails entirely</w:t>
      </w:r>
      <w:r w:rsidR="003049AB">
        <w:rPr>
          <w:rFonts w:ascii="Times New Roman" w:hAnsi="Times New Roman"/>
          <w:sz w:val="24"/>
        </w:rPr>
        <w:t xml:space="preserve"> to permeate the development </w:t>
      </w:r>
      <w:r w:rsidR="00650C46">
        <w:rPr>
          <w:rFonts w:ascii="Times New Roman" w:hAnsi="Times New Roman"/>
          <w:sz w:val="24"/>
        </w:rPr>
        <w:t>, or reflecting the Brief to</w:t>
      </w:r>
      <w:r w:rsidR="007C575F">
        <w:rPr>
          <w:rFonts w:ascii="Times New Roman" w:hAnsi="Times New Roman"/>
          <w:sz w:val="24"/>
        </w:rPr>
        <w:t xml:space="preserve"> enable the land</w:t>
      </w:r>
      <w:r w:rsidR="00FD720C">
        <w:rPr>
          <w:rFonts w:ascii="Times New Roman" w:hAnsi="Times New Roman"/>
          <w:sz w:val="24"/>
        </w:rPr>
        <w:t>s</w:t>
      </w:r>
      <w:r w:rsidR="007C575F">
        <w:rPr>
          <w:rFonts w:ascii="Times New Roman" w:hAnsi="Times New Roman"/>
          <w:sz w:val="24"/>
        </w:rPr>
        <w:t>cape</w:t>
      </w:r>
      <w:r>
        <w:rPr>
          <w:rFonts w:ascii="Times New Roman" w:hAnsi="Times New Roman"/>
          <w:sz w:val="24"/>
        </w:rPr>
        <w:t xml:space="preserve"> </w:t>
      </w:r>
      <w:r w:rsidR="007C575F">
        <w:rPr>
          <w:rFonts w:ascii="Times New Roman" w:hAnsi="Times New Roman"/>
          <w:sz w:val="24"/>
        </w:rPr>
        <w:t xml:space="preserve">setting to be a significant </w:t>
      </w:r>
      <w:r>
        <w:rPr>
          <w:rFonts w:ascii="Times New Roman" w:hAnsi="Times New Roman"/>
          <w:sz w:val="24"/>
        </w:rPr>
        <w:t>f</w:t>
      </w:r>
      <w:r w:rsidR="007C575F">
        <w:rPr>
          <w:rFonts w:ascii="Times New Roman" w:hAnsi="Times New Roman"/>
          <w:sz w:val="24"/>
        </w:rPr>
        <w:t>eature in the character of the development (G2)</w:t>
      </w:r>
      <w:r>
        <w:rPr>
          <w:rFonts w:ascii="Times New Roman" w:hAnsi="Times New Roman"/>
          <w:sz w:val="24"/>
        </w:rPr>
        <w:t>). There are across the site no more than</w:t>
      </w:r>
      <w:r w:rsidR="003049AB">
        <w:rPr>
          <w:rFonts w:ascii="Times New Roman" w:hAnsi="Times New Roman"/>
          <w:sz w:val="24"/>
        </w:rPr>
        <w:t xml:space="preserve"> occasional trees in front gardens</w:t>
      </w:r>
      <w:r w:rsidR="003049AB">
        <w:rPr>
          <w:rStyle w:val="FootnoteReference"/>
          <w:rFonts w:ascii="Times New Roman" w:hAnsi="Times New Roman"/>
          <w:sz w:val="24"/>
        </w:rPr>
        <w:footnoteReference w:id="32"/>
      </w:r>
      <w:r w:rsidR="00CB0D51">
        <w:rPr>
          <w:rFonts w:ascii="Times New Roman" w:hAnsi="Times New Roman"/>
          <w:sz w:val="24"/>
        </w:rPr>
        <w:t>. The degree of green space and landscaping within the housing area is contrary to the Brief and gives the housing a very urban character.</w:t>
      </w:r>
      <w:r w:rsidR="00F113FF">
        <w:rPr>
          <w:rFonts w:ascii="Times New Roman" w:hAnsi="Times New Roman"/>
          <w:sz w:val="24"/>
        </w:rPr>
        <w:t xml:space="preserve"> </w:t>
      </w:r>
    </w:p>
    <w:p w14:paraId="66EB2B9B" w14:textId="07BA3BC4" w:rsidR="00CB0D51" w:rsidRDefault="005427F5" w:rsidP="00C06075">
      <w:pPr>
        <w:pStyle w:val="ListParagraph"/>
        <w:numPr>
          <w:ilvl w:val="0"/>
          <w:numId w:val="4"/>
        </w:numPr>
        <w:spacing w:line="360" w:lineRule="auto"/>
        <w:jc w:val="both"/>
        <w:rPr>
          <w:rFonts w:ascii="Times New Roman" w:hAnsi="Times New Roman"/>
          <w:sz w:val="24"/>
        </w:rPr>
      </w:pPr>
      <w:r>
        <w:rPr>
          <w:rFonts w:ascii="Times New Roman" w:hAnsi="Times New Roman"/>
          <w:sz w:val="24"/>
          <w:u w:val="single"/>
        </w:rPr>
        <w:t>Northern edge:</w:t>
      </w:r>
      <w:r w:rsidR="00422746">
        <w:rPr>
          <w:rFonts w:ascii="Times New Roman" w:hAnsi="Times New Roman"/>
          <w:sz w:val="24"/>
        </w:rPr>
        <w:t xml:space="preserve"> </w:t>
      </w:r>
      <w:r w:rsidR="00FA2524">
        <w:rPr>
          <w:rFonts w:ascii="Times New Roman" w:hAnsi="Times New Roman"/>
          <w:sz w:val="24"/>
        </w:rPr>
        <w:t xml:space="preserve">very few </w:t>
      </w:r>
      <w:r w:rsidR="00D9647B">
        <w:rPr>
          <w:rFonts w:ascii="Times New Roman" w:hAnsi="Times New Roman"/>
          <w:sz w:val="24"/>
        </w:rPr>
        <w:t>properties address the woodland edge as shown in the Brief. The revised proposals provide a linear area of planting, but the illustrations (see Mr Walshaw</w:t>
      </w:r>
      <w:r w:rsidR="00F767A8">
        <w:rPr>
          <w:rFonts w:ascii="Times New Roman" w:hAnsi="Times New Roman"/>
          <w:sz w:val="24"/>
        </w:rPr>
        <w:t>’s App. 27) show how the proposed large houses present a hard edge that does not allow for the landscaping to permeate</w:t>
      </w:r>
      <w:r w:rsidR="00046770">
        <w:rPr>
          <w:rFonts w:ascii="Times New Roman" w:hAnsi="Times New Roman"/>
          <w:sz w:val="24"/>
        </w:rPr>
        <w:t xml:space="preserve"> through the </w:t>
      </w:r>
      <w:r w:rsidR="00836B7D">
        <w:rPr>
          <w:rFonts w:ascii="Times New Roman" w:hAnsi="Times New Roman"/>
          <w:sz w:val="24"/>
        </w:rPr>
        <w:t>e</w:t>
      </w:r>
      <w:r w:rsidR="00046770">
        <w:rPr>
          <w:rFonts w:ascii="Times New Roman" w:hAnsi="Times New Roman"/>
          <w:sz w:val="24"/>
        </w:rPr>
        <w:t xml:space="preserve">dge or be incorporated into the character of the housing development itself; at parts the development is hard against and </w:t>
      </w:r>
      <w:r w:rsidR="0020002A">
        <w:rPr>
          <w:rFonts w:ascii="Times New Roman" w:hAnsi="Times New Roman"/>
          <w:sz w:val="24"/>
        </w:rPr>
        <w:t>extends through roads and parking spaces into the 15m buffer</w:t>
      </w:r>
      <w:r w:rsidR="00836B7D">
        <w:rPr>
          <w:rFonts w:ascii="Times New Roman" w:hAnsi="Times New Roman"/>
          <w:sz w:val="24"/>
        </w:rPr>
        <w:t xml:space="preserve"> zone. The hard urban character is a product of the design choice of placing large, wide units </w:t>
      </w:r>
      <w:r w:rsidR="00B048DA">
        <w:rPr>
          <w:rFonts w:ascii="Times New Roman" w:hAnsi="Times New Roman"/>
          <w:sz w:val="24"/>
        </w:rPr>
        <w:t xml:space="preserve">with little space between, and the failure to </w:t>
      </w:r>
      <w:r w:rsidR="00A327FD">
        <w:rPr>
          <w:rFonts w:ascii="Times New Roman" w:hAnsi="Times New Roman"/>
          <w:sz w:val="24"/>
        </w:rPr>
        <w:t>incorporate</w:t>
      </w:r>
      <w:r w:rsidR="00B048DA">
        <w:rPr>
          <w:rFonts w:ascii="Times New Roman" w:hAnsi="Times New Roman"/>
          <w:sz w:val="24"/>
        </w:rPr>
        <w:t xml:space="preserve"> any real greenspace within the housing area.</w:t>
      </w:r>
      <w:r w:rsidR="002A16AE">
        <w:rPr>
          <w:rFonts w:ascii="Times New Roman" w:hAnsi="Times New Roman"/>
          <w:sz w:val="24"/>
        </w:rPr>
        <w:t xml:space="preserve"> In reality, the greenspace is segrega</w:t>
      </w:r>
      <w:r w:rsidR="00C95598">
        <w:rPr>
          <w:rFonts w:ascii="Times New Roman" w:hAnsi="Times New Roman"/>
          <w:sz w:val="24"/>
        </w:rPr>
        <w:t>ted from the block of housing (e.g. App. 27 figure 10).</w:t>
      </w:r>
    </w:p>
    <w:p w14:paraId="342B3521" w14:textId="3B0EDC6A" w:rsidR="00B048DA" w:rsidRDefault="00B048DA" w:rsidP="00C06075">
      <w:pPr>
        <w:pStyle w:val="ListParagraph"/>
        <w:numPr>
          <w:ilvl w:val="0"/>
          <w:numId w:val="4"/>
        </w:numPr>
        <w:spacing w:line="360" w:lineRule="auto"/>
        <w:jc w:val="both"/>
        <w:rPr>
          <w:rFonts w:ascii="Times New Roman" w:hAnsi="Times New Roman"/>
          <w:sz w:val="24"/>
        </w:rPr>
      </w:pPr>
      <w:r>
        <w:rPr>
          <w:rFonts w:ascii="Times New Roman" w:hAnsi="Times New Roman"/>
          <w:sz w:val="24"/>
          <w:u w:val="single"/>
        </w:rPr>
        <w:t>Western edge</w:t>
      </w:r>
      <w:r>
        <w:rPr>
          <w:rFonts w:ascii="Times New Roman" w:hAnsi="Times New Roman"/>
          <w:sz w:val="24"/>
        </w:rPr>
        <w:t xml:space="preserve">: the development here allows </w:t>
      </w:r>
      <w:r w:rsidR="000D2107">
        <w:rPr>
          <w:rFonts w:ascii="Times New Roman" w:hAnsi="Times New Roman"/>
          <w:sz w:val="24"/>
        </w:rPr>
        <w:t>very little</w:t>
      </w:r>
      <w:r>
        <w:rPr>
          <w:rFonts w:ascii="Times New Roman" w:hAnsi="Times New Roman"/>
          <w:sz w:val="24"/>
        </w:rPr>
        <w:t xml:space="preserve"> on-site planting, removes all the establishing woodland</w:t>
      </w:r>
      <w:r w:rsidR="00502C53">
        <w:rPr>
          <w:rFonts w:ascii="Times New Roman" w:hAnsi="Times New Roman"/>
          <w:sz w:val="24"/>
        </w:rPr>
        <w:t xml:space="preserve"> within the site boundary</w:t>
      </w:r>
      <w:r>
        <w:rPr>
          <w:rFonts w:ascii="Times New Roman" w:hAnsi="Times New Roman"/>
          <w:sz w:val="24"/>
        </w:rPr>
        <w:t>, and presents a hard edge of retaining wall and close boarded fence, with the housing failing to address the sensitive green edge</w:t>
      </w:r>
      <w:r w:rsidR="00062408">
        <w:rPr>
          <w:rFonts w:ascii="Times New Roman" w:hAnsi="Times New Roman"/>
          <w:sz w:val="24"/>
        </w:rPr>
        <w:t xml:space="preserve"> and reproducing the poor </w:t>
      </w:r>
      <w:r w:rsidR="00062408">
        <w:rPr>
          <w:rFonts w:ascii="Times New Roman" w:hAnsi="Times New Roman"/>
          <w:sz w:val="24"/>
        </w:rPr>
        <w:lastRenderedPageBreak/>
        <w:t xml:space="preserve">relationships identified in other housing estates in the area as deprecated by Mr Walshaw. </w:t>
      </w:r>
      <w:r w:rsidR="00CC5B7D">
        <w:rPr>
          <w:rFonts w:ascii="Times New Roman" w:hAnsi="Times New Roman"/>
          <w:sz w:val="24"/>
        </w:rPr>
        <w:t xml:space="preserve">It bears no relation to the requirements of the Brief to address the frontage, or to the conceptual masterplan which shows significant gaps between buildings providing opportunities for permeation of the bult form. </w:t>
      </w:r>
    </w:p>
    <w:p w14:paraId="4FCFC87C" w14:textId="74AF824A" w:rsidR="00062408" w:rsidRDefault="00062408" w:rsidP="00C06075">
      <w:pPr>
        <w:pStyle w:val="ListParagraph"/>
        <w:numPr>
          <w:ilvl w:val="0"/>
          <w:numId w:val="4"/>
        </w:numPr>
        <w:spacing w:line="360" w:lineRule="auto"/>
        <w:jc w:val="both"/>
        <w:rPr>
          <w:rFonts w:ascii="Times New Roman" w:hAnsi="Times New Roman"/>
          <w:sz w:val="24"/>
        </w:rPr>
      </w:pPr>
      <w:r>
        <w:rPr>
          <w:rFonts w:ascii="Times New Roman" w:hAnsi="Times New Roman"/>
          <w:sz w:val="24"/>
          <w:u w:val="single"/>
        </w:rPr>
        <w:t>South-western edge:</w:t>
      </w:r>
      <w:r>
        <w:rPr>
          <w:rFonts w:ascii="Times New Roman" w:hAnsi="Times New Roman"/>
          <w:sz w:val="24"/>
        </w:rPr>
        <w:t xml:space="preserve"> This long frontage exhibits the same shortcomings of the </w:t>
      </w:r>
      <w:r w:rsidR="001B452D">
        <w:rPr>
          <w:rFonts w:ascii="Times New Roman" w:hAnsi="Times New Roman"/>
          <w:sz w:val="24"/>
        </w:rPr>
        <w:t>western edge with almost no perimeter planting</w:t>
      </w:r>
      <w:r w:rsidR="004B5418">
        <w:rPr>
          <w:rFonts w:ascii="Times New Roman" w:hAnsi="Times New Roman"/>
          <w:sz w:val="24"/>
        </w:rPr>
        <w:t xml:space="preserve"> as such</w:t>
      </w:r>
      <w:r w:rsidR="001B452D">
        <w:rPr>
          <w:rFonts w:ascii="Times New Roman" w:hAnsi="Times New Roman"/>
          <w:sz w:val="24"/>
        </w:rPr>
        <w:t xml:space="preserve">, </w:t>
      </w:r>
      <w:r w:rsidR="004B23E8">
        <w:rPr>
          <w:rFonts w:ascii="Times New Roman" w:hAnsi="Times New Roman"/>
          <w:sz w:val="24"/>
        </w:rPr>
        <w:t xml:space="preserve">only very </w:t>
      </w:r>
      <w:r w:rsidR="00145E7E">
        <w:rPr>
          <w:rFonts w:ascii="Times New Roman" w:hAnsi="Times New Roman"/>
          <w:sz w:val="24"/>
        </w:rPr>
        <w:t xml:space="preserve">one standard tree. The boundary treatment </w:t>
      </w:r>
      <w:r w:rsidR="003A7F89">
        <w:rPr>
          <w:rFonts w:ascii="Times New Roman" w:hAnsi="Times New Roman"/>
          <w:sz w:val="24"/>
        </w:rPr>
        <w:t>comprises</w:t>
      </w:r>
      <w:r w:rsidR="001B452D">
        <w:rPr>
          <w:rFonts w:ascii="Times New Roman" w:hAnsi="Times New Roman"/>
          <w:sz w:val="24"/>
        </w:rPr>
        <w:t xml:space="preserve"> in places significant retaining structures with close-boarded fences on top, with all units backing or siding on to it. </w:t>
      </w:r>
      <w:r w:rsidR="00516BDE">
        <w:rPr>
          <w:rFonts w:ascii="Times New Roman" w:hAnsi="Times New Roman"/>
          <w:sz w:val="24"/>
        </w:rPr>
        <w:t xml:space="preserve">Off-site it is intended to plant a hedgerow beyond the boundary fence (see the landscape masterplan at Mr Topping App. 8 to be addressed as part of the Biodiversity Net Gain proposals (Mr Baker </w:t>
      </w:r>
      <w:r w:rsidR="00AD793C">
        <w:rPr>
          <w:rFonts w:ascii="Times New Roman" w:hAnsi="Times New Roman"/>
          <w:sz w:val="24"/>
        </w:rPr>
        <w:t>app.4).</w:t>
      </w:r>
    </w:p>
    <w:p w14:paraId="2BC1045D" w14:textId="66CB41A8" w:rsidR="00615461" w:rsidRDefault="00615461" w:rsidP="00C06075">
      <w:pPr>
        <w:pStyle w:val="ListParagraph"/>
        <w:numPr>
          <w:ilvl w:val="0"/>
          <w:numId w:val="4"/>
        </w:numPr>
        <w:spacing w:line="360" w:lineRule="auto"/>
        <w:jc w:val="both"/>
        <w:rPr>
          <w:rFonts w:ascii="Times New Roman" w:hAnsi="Times New Roman"/>
          <w:sz w:val="24"/>
        </w:rPr>
      </w:pPr>
      <w:r>
        <w:rPr>
          <w:rFonts w:ascii="Times New Roman" w:hAnsi="Times New Roman"/>
          <w:sz w:val="24"/>
          <w:u w:val="single"/>
        </w:rPr>
        <w:t>Green character and landscaping</w:t>
      </w:r>
      <w:r>
        <w:rPr>
          <w:rFonts w:ascii="Times New Roman" w:hAnsi="Times New Roman"/>
          <w:sz w:val="24"/>
        </w:rPr>
        <w:t>: the</w:t>
      </w:r>
      <w:r w:rsidR="008A2F30">
        <w:rPr>
          <w:rFonts w:ascii="Times New Roman" w:hAnsi="Times New Roman"/>
          <w:sz w:val="24"/>
        </w:rPr>
        <w:t xml:space="preserve"> character of the development – and its hard urban form – is a product of design choices. The </w:t>
      </w:r>
      <w:r w:rsidR="007676FA">
        <w:rPr>
          <w:rFonts w:ascii="Times New Roman" w:hAnsi="Times New Roman"/>
          <w:sz w:val="24"/>
        </w:rPr>
        <w:t>A</w:t>
      </w:r>
      <w:r w:rsidR="008A2F30">
        <w:rPr>
          <w:rFonts w:ascii="Times New Roman" w:hAnsi="Times New Roman"/>
          <w:sz w:val="24"/>
        </w:rPr>
        <w:t xml:space="preserve">rboricultural </w:t>
      </w:r>
      <w:r w:rsidR="007676FA">
        <w:rPr>
          <w:rFonts w:ascii="Times New Roman" w:hAnsi="Times New Roman"/>
          <w:sz w:val="24"/>
        </w:rPr>
        <w:t>I</w:t>
      </w:r>
      <w:r w:rsidR="008A2F30">
        <w:rPr>
          <w:rFonts w:ascii="Times New Roman" w:hAnsi="Times New Roman"/>
          <w:sz w:val="24"/>
        </w:rPr>
        <w:t>mpact</w:t>
      </w:r>
      <w:r w:rsidR="007676FA">
        <w:rPr>
          <w:rFonts w:ascii="Times New Roman" w:hAnsi="Times New Roman"/>
          <w:sz w:val="24"/>
        </w:rPr>
        <w:t xml:space="preserve"> Assessment (CD 2.9B) is clear that none of the groups of trees are unsuitable for retention within a scheme. Indeed, it recommends the retention of large parts of group</w:t>
      </w:r>
      <w:r w:rsidR="00461137">
        <w:rPr>
          <w:rFonts w:ascii="Times New Roman" w:hAnsi="Times New Roman"/>
          <w:sz w:val="24"/>
        </w:rPr>
        <w:t>s</w:t>
      </w:r>
      <w:r w:rsidR="007676FA">
        <w:rPr>
          <w:rFonts w:ascii="Times New Roman" w:hAnsi="Times New Roman"/>
          <w:sz w:val="24"/>
        </w:rPr>
        <w:t xml:space="preserve"> G7, G8 and G9</w:t>
      </w:r>
      <w:r w:rsidR="00461137">
        <w:rPr>
          <w:rFonts w:ascii="Times New Roman" w:hAnsi="Times New Roman"/>
          <w:sz w:val="24"/>
        </w:rPr>
        <w:t>. G7 and 8 are (on th</w:t>
      </w:r>
      <w:r w:rsidR="006B3BB4">
        <w:rPr>
          <w:rFonts w:ascii="Times New Roman" w:hAnsi="Times New Roman"/>
          <w:sz w:val="24"/>
        </w:rPr>
        <w:t>e scheme a</w:t>
      </w:r>
      <w:r w:rsidR="00BD36A2">
        <w:rPr>
          <w:rFonts w:ascii="Times New Roman" w:hAnsi="Times New Roman"/>
          <w:sz w:val="24"/>
        </w:rPr>
        <w:t>s</w:t>
      </w:r>
      <w:r w:rsidR="006B3BB4">
        <w:rPr>
          <w:rFonts w:ascii="Times New Roman" w:hAnsi="Times New Roman"/>
          <w:sz w:val="24"/>
        </w:rPr>
        <w:t xml:space="preserve"> amended</w:t>
      </w:r>
      <w:r w:rsidR="00BD36A2">
        <w:rPr>
          <w:rFonts w:ascii="Times New Roman" w:hAnsi="Times New Roman"/>
          <w:sz w:val="24"/>
        </w:rPr>
        <w:t>, but not previously</w:t>
      </w:r>
      <w:r w:rsidR="006B3BB4">
        <w:rPr>
          <w:rFonts w:ascii="Times New Roman" w:hAnsi="Times New Roman"/>
          <w:sz w:val="24"/>
        </w:rPr>
        <w:t>) entirely lost, and 43% of G</w:t>
      </w:r>
      <w:r w:rsidR="00F1263C">
        <w:rPr>
          <w:rFonts w:ascii="Times New Roman" w:hAnsi="Times New Roman"/>
          <w:sz w:val="24"/>
        </w:rPr>
        <w:t>9</w:t>
      </w:r>
      <w:r w:rsidR="006B3BB4">
        <w:rPr>
          <w:rFonts w:ascii="Times New Roman" w:hAnsi="Times New Roman"/>
          <w:sz w:val="24"/>
        </w:rPr>
        <w:t xml:space="preserve"> is retained. No other groups of trees or individual trees across the main site are retained at all. The only replacement planting of note is to the north, and this is broadly linear, </w:t>
      </w:r>
      <w:r w:rsidR="00175F98">
        <w:rPr>
          <w:rFonts w:ascii="Times New Roman" w:hAnsi="Times New Roman"/>
          <w:sz w:val="24"/>
        </w:rPr>
        <w:t xml:space="preserve">and neither it nor its character </w:t>
      </w:r>
      <w:r w:rsidR="006B3BB4">
        <w:rPr>
          <w:rFonts w:ascii="Times New Roman" w:hAnsi="Times New Roman"/>
          <w:sz w:val="24"/>
        </w:rPr>
        <w:t>permeat</w:t>
      </w:r>
      <w:r w:rsidR="00175F98">
        <w:rPr>
          <w:rFonts w:ascii="Times New Roman" w:hAnsi="Times New Roman"/>
          <w:sz w:val="24"/>
        </w:rPr>
        <w:t>es through to</w:t>
      </w:r>
      <w:r w:rsidR="006B3BB4">
        <w:rPr>
          <w:rFonts w:ascii="Times New Roman" w:hAnsi="Times New Roman"/>
          <w:sz w:val="24"/>
        </w:rPr>
        <w:t xml:space="preserve"> the</w:t>
      </w:r>
      <w:r w:rsidR="00B0518D">
        <w:rPr>
          <w:rFonts w:ascii="Times New Roman" w:hAnsi="Times New Roman"/>
          <w:sz w:val="24"/>
        </w:rPr>
        <w:t xml:space="preserve"> rest of the</w:t>
      </w:r>
      <w:r w:rsidR="006B3BB4">
        <w:rPr>
          <w:rFonts w:ascii="Times New Roman" w:hAnsi="Times New Roman"/>
          <w:sz w:val="24"/>
        </w:rPr>
        <w:t xml:space="preserve"> development.</w:t>
      </w:r>
      <w:r w:rsidR="00B0518D">
        <w:rPr>
          <w:rFonts w:ascii="Times New Roman" w:hAnsi="Times New Roman"/>
          <w:sz w:val="24"/>
        </w:rPr>
        <w:t xml:space="preserve"> </w:t>
      </w:r>
      <w:r w:rsidR="00F00E67">
        <w:rPr>
          <w:rFonts w:ascii="Times New Roman" w:hAnsi="Times New Roman"/>
          <w:sz w:val="24"/>
        </w:rPr>
        <w:t xml:space="preserve">Mrs Hull considers the proposed liner planting, with one pocket north of plot 23, </w:t>
      </w:r>
      <w:r w:rsidR="00B553E4">
        <w:rPr>
          <w:rFonts w:ascii="Times New Roman" w:hAnsi="Times New Roman"/>
          <w:sz w:val="24"/>
        </w:rPr>
        <w:t xml:space="preserve">to be linear and artificial. </w:t>
      </w:r>
      <w:r w:rsidR="006B3BB4">
        <w:rPr>
          <w:rFonts w:ascii="Times New Roman" w:hAnsi="Times New Roman"/>
          <w:sz w:val="24"/>
        </w:rPr>
        <w:t xml:space="preserve"> Overall, the loss of woodland across the site is </w:t>
      </w:r>
      <w:r w:rsidR="002C5CAC">
        <w:rPr>
          <w:rFonts w:ascii="Times New Roman" w:hAnsi="Times New Roman"/>
          <w:sz w:val="24"/>
        </w:rPr>
        <w:t>approx.. 0.6 ha</w:t>
      </w:r>
      <w:r w:rsidR="00A72DCC">
        <w:rPr>
          <w:rStyle w:val="FootnoteReference"/>
          <w:rFonts w:ascii="Times New Roman" w:hAnsi="Times New Roman"/>
          <w:sz w:val="24"/>
        </w:rPr>
        <w:footnoteReference w:id="33"/>
      </w:r>
      <w:r w:rsidR="00F42EA3">
        <w:rPr>
          <w:rFonts w:ascii="Times New Roman" w:hAnsi="Times New Roman"/>
          <w:sz w:val="24"/>
        </w:rPr>
        <w:t xml:space="preserve">. There is no-on site peripheral planting along the western or south-western </w:t>
      </w:r>
      <w:r w:rsidR="009518E8">
        <w:rPr>
          <w:rFonts w:ascii="Times New Roman" w:hAnsi="Times New Roman"/>
          <w:sz w:val="24"/>
        </w:rPr>
        <w:t xml:space="preserve">edges. Off-site cat. B trees are retained, but there is no identified scheme of off-site planting along these boundaries. Mr Baker’s Appendix 4 identifies </w:t>
      </w:r>
      <w:r w:rsidR="003B044C">
        <w:rPr>
          <w:rFonts w:ascii="Times New Roman" w:hAnsi="Times New Roman"/>
          <w:sz w:val="24"/>
        </w:rPr>
        <w:t>a hedgerow along the S-W boundary, but otherwise only management within u</w:t>
      </w:r>
      <w:r w:rsidR="00973553">
        <w:rPr>
          <w:rFonts w:ascii="Times New Roman" w:hAnsi="Times New Roman"/>
          <w:sz w:val="24"/>
        </w:rPr>
        <w:t>nit 1 to a value of £6,000. There are no specific o</w:t>
      </w:r>
      <w:r w:rsidR="00F174CB">
        <w:rPr>
          <w:rFonts w:ascii="Times New Roman" w:hAnsi="Times New Roman"/>
          <w:sz w:val="24"/>
        </w:rPr>
        <w:t>ff</w:t>
      </w:r>
      <w:r w:rsidR="00973553">
        <w:rPr>
          <w:rFonts w:ascii="Times New Roman" w:hAnsi="Times New Roman"/>
          <w:sz w:val="24"/>
        </w:rPr>
        <w:t>-site planting proposals secured through the scheme.</w:t>
      </w:r>
    </w:p>
    <w:p w14:paraId="07B4AA47" w14:textId="78BE91B3" w:rsidR="005B691B" w:rsidRDefault="005B691B" w:rsidP="005B691B">
      <w:pPr>
        <w:spacing w:line="360" w:lineRule="auto"/>
        <w:jc w:val="both"/>
        <w:rPr>
          <w:rFonts w:ascii="Times New Roman" w:hAnsi="Times New Roman"/>
          <w:sz w:val="24"/>
        </w:rPr>
      </w:pPr>
    </w:p>
    <w:p w14:paraId="41E869C0" w14:textId="3AAD06AF" w:rsidR="005B691B" w:rsidRDefault="005B691B" w:rsidP="005B691B">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In conclusion, the scheme fails to meet the requirements of national policy and development plan policy. </w:t>
      </w:r>
      <w:r w:rsidR="00076FE1">
        <w:rPr>
          <w:rFonts w:ascii="Times New Roman" w:hAnsi="Times New Roman"/>
          <w:sz w:val="24"/>
        </w:rPr>
        <w:t xml:space="preserve">The proposals do not appropriately reflect the site’s </w:t>
      </w:r>
      <w:r w:rsidR="00076FE1">
        <w:rPr>
          <w:rFonts w:ascii="Times New Roman" w:hAnsi="Times New Roman"/>
          <w:sz w:val="24"/>
        </w:rPr>
        <w:lastRenderedPageBreak/>
        <w:t>opportunities</w:t>
      </w:r>
      <w:r w:rsidR="00CA0ECD">
        <w:rPr>
          <w:rFonts w:ascii="Times New Roman" w:hAnsi="Times New Roman"/>
          <w:sz w:val="24"/>
        </w:rPr>
        <w:t xml:space="preserve">, or its green character, and the balance between green space and built form is inappropriate. </w:t>
      </w:r>
      <w:r>
        <w:rPr>
          <w:rFonts w:ascii="Times New Roman" w:hAnsi="Times New Roman"/>
          <w:sz w:val="24"/>
        </w:rPr>
        <w:t xml:space="preserve">It is common ground that the Brief should attract substantial weight, and that an assessment against the Brief serves as a </w:t>
      </w:r>
      <w:r w:rsidR="0062281F">
        <w:rPr>
          <w:rFonts w:ascii="Times New Roman" w:hAnsi="Times New Roman"/>
          <w:sz w:val="24"/>
        </w:rPr>
        <w:t xml:space="preserve">means of assessing compliance with development plan policies (although it is not </w:t>
      </w:r>
      <w:r w:rsidR="00F174CB">
        <w:rPr>
          <w:rFonts w:ascii="Times New Roman" w:hAnsi="Times New Roman"/>
          <w:sz w:val="24"/>
        </w:rPr>
        <w:t>itself</w:t>
      </w:r>
      <w:r w:rsidR="0062281F">
        <w:rPr>
          <w:rFonts w:ascii="Times New Roman" w:hAnsi="Times New Roman"/>
          <w:sz w:val="24"/>
        </w:rPr>
        <w:t xml:space="preserve"> a development plan policy). The proposals fail to comply with the Brief as properly interpreted. Applying national policy, planning permission should be refused</w:t>
      </w:r>
      <w:r w:rsidR="00836BC6">
        <w:rPr>
          <w:rFonts w:ascii="Times New Roman" w:hAnsi="Times New Roman"/>
          <w:sz w:val="24"/>
        </w:rPr>
        <w:t xml:space="preserve">. Applying development plan policies, the proposals are contrary to the development plan. </w:t>
      </w:r>
    </w:p>
    <w:p w14:paraId="1C31175E" w14:textId="77777777" w:rsidR="00663825" w:rsidRPr="00EA2B17" w:rsidRDefault="00663825" w:rsidP="00EA2B17">
      <w:pPr>
        <w:rPr>
          <w:rFonts w:ascii="Times New Roman" w:hAnsi="Times New Roman"/>
          <w:sz w:val="24"/>
        </w:rPr>
      </w:pPr>
    </w:p>
    <w:p w14:paraId="55904EEF" w14:textId="0F3B27C0" w:rsidR="00663825" w:rsidRDefault="00557E8C" w:rsidP="00663825">
      <w:pPr>
        <w:spacing w:line="360" w:lineRule="auto"/>
        <w:jc w:val="both"/>
        <w:rPr>
          <w:rFonts w:ascii="Times New Roman" w:hAnsi="Times New Roman"/>
          <w:b/>
          <w:bCs/>
          <w:sz w:val="24"/>
        </w:rPr>
      </w:pPr>
      <w:r w:rsidRPr="000B1A98">
        <w:rPr>
          <w:rFonts w:ascii="Times New Roman" w:hAnsi="Times New Roman"/>
          <w:b/>
          <w:bCs/>
          <w:sz w:val="24"/>
        </w:rPr>
        <w:t>D: Efficient Use of Land</w:t>
      </w:r>
    </w:p>
    <w:p w14:paraId="6B709FE1" w14:textId="556A678D" w:rsidR="005105E1" w:rsidRPr="005105E1" w:rsidRDefault="005105E1" w:rsidP="00663825">
      <w:pPr>
        <w:spacing w:line="360" w:lineRule="auto"/>
        <w:jc w:val="both"/>
        <w:rPr>
          <w:rFonts w:ascii="Times New Roman" w:hAnsi="Times New Roman"/>
          <w:sz w:val="24"/>
          <w:u w:val="single"/>
        </w:rPr>
      </w:pPr>
      <w:r>
        <w:rPr>
          <w:rFonts w:ascii="Times New Roman" w:hAnsi="Times New Roman"/>
          <w:sz w:val="24"/>
          <w:u w:val="single"/>
        </w:rPr>
        <w:t>National and Local Policy</w:t>
      </w:r>
    </w:p>
    <w:p w14:paraId="570300DE" w14:textId="289825FA" w:rsidR="00557E8C" w:rsidRDefault="00557E8C" w:rsidP="00665626">
      <w:pPr>
        <w:pStyle w:val="ListParagraph"/>
        <w:numPr>
          <w:ilvl w:val="0"/>
          <w:numId w:val="1"/>
        </w:numPr>
        <w:spacing w:line="360" w:lineRule="auto"/>
        <w:jc w:val="both"/>
        <w:rPr>
          <w:rFonts w:ascii="Times New Roman" w:hAnsi="Times New Roman"/>
          <w:sz w:val="24"/>
        </w:rPr>
      </w:pPr>
      <w:r w:rsidRPr="00665626">
        <w:rPr>
          <w:rFonts w:ascii="Times New Roman" w:hAnsi="Times New Roman"/>
          <w:sz w:val="24"/>
        </w:rPr>
        <w:t>It has long been a central tenet of national policy</w:t>
      </w:r>
      <w:r w:rsidR="00946FB9" w:rsidRPr="00665626">
        <w:rPr>
          <w:rFonts w:ascii="Times New Roman" w:hAnsi="Times New Roman"/>
          <w:sz w:val="24"/>
        </w:rPr>
        <w:t xml:space="preserve">, a corollary of the objectives of boosting housing and promoting good design, that </w:t>
      </w:r>
      <w:r w:rsidR="005632D7" w:rsidRPr="00665626">
        <w:rPr>
          <w:rFonts w:ascii="Times New Roman" w:hAnsi="Times New Roman"/>
          <w:sz w:val="24"/>
        </w:rPr>
        <w:t>development must make an</w:t>
      </w:r>
      <w:r w:rsidR="00B971E7" w:rsidRPr="00665626">
        <w:rPr>
          <w:rFonts w:ascii="Times New Roman" w:hAnsi="Times New Roman"/>
          <w:sz w:val="24"/>
        </w:rPr>
        <w:t xml:space="preserve"> effective and efficient  use of land</w:t>
      </w:r>
      <w:r w:rsidR="00B971E7" w:rsidRPr="000B1A98">
        <w:rPr>
          <w:rStyle w:val="FootnoteReference"/>
          <w:rFonts w:ascii="Times New Roman" w:hAnsi="Times New Roman"/>
          <w:sz w:val="24"/>
        </w:rPr>
        <w:footnoteReference w:id="34"/>
      </w:r>
      <w:r w:rsidR="00B971E7" w:rsidRPr="00665626">
        <w:rPr>
          <w:rFonts w:ascii="Times New Roman" w:hAnsi="Times New Roman"/>
          <w:sz w:val="24"/>
        </w:rPr>
        <w:t xml:space="preserve">. </w:t>
      </w:r>
      <w:r w:rsidR="006C5D24" w:rsidRPr="00665626">
        <w:rPr>
          <w:rFonts w:ascii="Times New Roman" w:hAnsi="Times New Roman"/>
          <w:sz w:val="24"/>
        </w:rPr>
        <w:t xml:space="preserve">This sits alongside the policy requirements to improve the environment. Paragraph </w:t>
      </w:r>
      <w:r w:rsidR="00A51015" w:rsidRPr="00665626">
        <w:rPr>
          <w:rFonts w:ascii="Times New Roman" w:hAnsi="Times New Roman"/>
          <w:sz w:val="24"/>
        </w:rPr>
        <w:t>122 brings into this consideration the character o</w:t>
      </w:r>
      <w:r w:rsidR="00C51669" w:rsidRPr="00665626">
        <w:rPr>
          <w:rFonts w:ascii="Times New Roman" w:hAnsi="Times New Roman"/>
          <w:sz w:val="24"/>
        </w:rPr>
        <w:t>f</w:t>
      </w:r>
      <w:r w:rsidR="00A51015" w:rsidRPr="00665626">
        <w:rPr>
          <w:rFonts w:ascii="Times New Roman" w:hAnsi="Times New Roman"/>
          <w:sz w:val="24"/>
        </w:rPr>
        <w:t xml:space="preserve"> the area and the importance of securing well-designed places.</w:t>
      </w:r>
      <w:r w:rsidR="006941CF">
        <w:rPr>
          <w:rFonts w:ascii="Times New Roman" w:hAnsi="Times New Roman"/>
          <w:sz w:val="24"/>
        </w:rPr>
        <w:t xml:space="preserve"> This is not to drive down density, but to optimise it – see </w:t>
      </w:r>
      <w:r w:rsidR="0054025D">
        <w:rPr>
          <w:rFonts w:ascii="Times New Roman" w:hAnsi="Times New Roman"/>
          <w:sz w:val="24"/>
        </w:rPr>
        <w:t>127(e).</w:t>
      </w:r>
      <w:r w:rsidR="00A51015" w:rsidRPr="00665626">
        <w:rPr>
          <w:rFonts w:ascii="Times New Roman" w:hAnsi="Times New Roman"/>
          <w:sz w:val="24"/>
        </w:rPr>
        <w:t xml:space="preserve"> </w:t>
      </w:r>
      <w:r w:rsidR="00854336" w:rsidRPr="00665626">
        <w:rPr>
          <w:rFonts w:ascii="Times New Roman" w:hAnsi="Times New Roman"/>
          <w:sz w:val="24"/>
        </w:rPr>
        <w:t>Paragraph 12</w:t>
      </w:r>
      <w:r w:rsidR="00B708C2">
        <w:rPr>
          <w:rFonts w:ascii="Times New Roman" w:hAnsi="Times New Roman"/>
          <w:sz w:val="24"/>
        </w:rPr>
        <w:t>3(</w:t>
      </w:r>
      <w:r w:rsidR="00854336" w:rsidRPr="00665626">
        <w:rPr>
          <w:rFonts w:ascii="Times New Roman" w:hAnsi="Times New Roman"/>
          <w:sz w:val="24"/>
        </w:rPr>
        <w:t xml:space="preserve">c) makes clear that applications which fail to make an efficient use of land should be refused. </w:t>
      </w:r>
    </w:p>
    <w:p w14:paraId="463B782A" w14:textId="3E376D9F" w:rsidR="00665626" w:rsidRDefault="00665626" w:rsidP="00665626">
      <w:pPr>
        <w:pStyle w:val="ListParagraph"/>
        <w:spacing w:line="360" w:lineRule="auto"/>
        <w:jc w:val="both"/>
        <w:rPr>
          <w:rFonts w:ascii="Times New Roman" w:hAnsi="Times New Roman"/>
          <w:sz w:val="24"/>
        </w:rPr>
      </w:pPr>
    </w:p>
    <w:p w14:paraId="721A2A3A" w14:textId="4E215A4B" w:rsidR="00665626" w:rsidRDefault="00665626"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The</w:t>
      </w:r>
      <w:r w:rsidR="00A32EA6">
        <w:rPr>
          <w:rFonts w:ascii="Times New Roman" w:hAnsi="Times New Roman"/>
          <w:sz w:val="24"/>
        </w:rPr>
        <w:t xml:space="preserve"> development plan provides specific guidance on what constitutes an efficient use of land for land located in proximity to the super-tram</w:t>
      </w:r>
      <w:r w:rsidR="000D4A83">
        <w:rPr>
          <w:rFonts w:ascii="Times New Roman" w:hAnsi="Times New Roman"/>
          <w:sz w:val="24"/>
        </w:rPr>
        <w:t xml:space="preserve"> – the range being 40-60 dph. </w:t>
      </w:r>
      <w:r w:rsidR="00940011">
        <w:rPr>
          <w:rFonts w:ascii="Times New Roman" w:hAnsi="Times New Roman"/>
          <w:sz w:val="24"/>
        </w:rPr>
        <w:t>It is fair to say that</w:t>
      </w:r>
      <w:r w:rsidR="001A321B">
        <w:rPr>
          <w:rFonts w:ascii="Times New Roman" w:hAnsi="Times New Roman"/>
          <w:sz w:val="24"/>
        </w:rPr>
        <w:t xml:space="preserve"> this does not mean any density below that range must be refused, but it does mean that a lower density must be specifically justified – the bu</w:t>
      </w:r>
      <w:r w:rsidR="007271CE">
        <w:rPr>
          <w:rFonts w:ascii="Times New Roman" w:hAnsi="Times New Roman"/>
          <w:sz w:val="24"/>
        </w:rPr>
        <w:t xml:space="preserve">rden being on the </w:t>
      </w:r>
      <w:r w:rsidR="00F174CB">
        <w:rPr>
          <w:rFonts w:ascii="Times New Roman" w:hAnsi="Times New Roman"/>
          <w:sz w:val="24"/>
        </w:rPr>
        <w:t>appellant</w:t>
      </w:r>
      <w:r w:rsidR="007271CE">
        <w:rPr>
          <w:rFonts w:ascii="Times New Roman" w:hAnsi="Times New Roman"/>
          <w:sz w:val="24"/>
        </w:rPr>
        <w:t xml:space="preserve"> (as Mr Bolton acknowledges</w:t>
      </w:r>
      <w:r w:rsidR="007271CE">
        <w:rPr>
          <w:rStyle w:val="FootnoteReference"/>
          <w:rFonts w:ascii="Times New Roman" w:hAnsi="Times New Roman"/>
          <w:sz w:val="24"/>
        </w:rPr>
        <w:footnoteReference w:id="35"/>
      </w:r>
      <w:r w:rsidR="007271CE">
        <w:rPr>
          <w:rFonts w:ascii="Times New Roman" w:hAnsi="Times New Roman"/>
          <w:sz w:val="24"/>
        </w:rPr>
        <w:t xml:space="preserve">) – by reference to the good design, </w:t>
      </w:r>
      <w:r w:rsidR="00B708C2">
        <w:rPr>
          <w:rFonts w:ascii="Times New Roman" w:hAnsi="Times New Roman"/>
          <w:sz w:val="24"/>
        </w:rPr>
        <w:t>the character of the area, or the need to protect a sensitive area</w:t>
      </w:r>
      <w:r w:rsidR="00B708C2">
        <w:rPr>
          <w:rStyle w:val="FootnoteReference"/>
          <w:rFonts w:ascii="Times New Roman" w:hAnsi="Times New Roman"/>
          <w:sz w:val="24"/>
        </w:rPr>
        <w:footnoteReference w:id="36"/>
      </w:r>
      <w:r w:rsidR="0054025D">
        <w:rPr>
          <w:rFonts w:ascii="Times New Roman" w:hAnsi="Times New Roman"/>
          <w:sz w:val="24"/>
        </w:rPr>
        <w:t>.</w:t>
      </w:r>
    </w:p>
    <w:p w14:paraId="260CC528" w14:textId="77777777" w:rsidR="0054025D" w:rsidRPr="0054025D" w:rsidRDefault="0054025D" w:rsidP="0054025D">
      <w:pPr>
        <w:pStyle w:val="ListParagraph"/>
        <w:rPr>
          <w:rFonts w:ascii="Times New Roman" w:hAnsi="Times New Roman"/>
          <w:sz w:val="24"/>
        </w:rPr>
      </w:pPr>
    </w:p>
    <w:p w14:paraId="2AAA3C8A" w14:textId="1C524D08" w:rsidR="0025708B" w:rsidRDefault="0054025D"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The Brief also gives guidance on density. It anticipates</w:t>
      </w:r>
      <w:r w:rsidR="00676455">
        <w:rPr>
          <w:rFonts w:ascii="Times New Roman" w:hAnsi="Times New Roman"/>
          <w:sz w:val="24"/>
        </w:rPr>
        <w:t xml:space="preserve"> </w:t>
      </w:r>
      <w:r w:rsidR="00EE1BAB">
        <w:rPr>
          <w:rFonts w:ascii="Times New Roman" w:hAnsi="Times New Roman"/>
          <w:sz w:val="24"/>
        </w:rPr>
        <w:t xml:space="preserve">– taking into account topography and a dominance of family housing </w:t>
      </w:r>
      <w:r w:rsidR="00704857">
        <w:rPr>
          <w:rFonts w:ascii="Times New Roman" w:hAnsi="Times New Roman"/>
          <w:sz w:val="24"/>
        </w:rPr>
        <w:t>–</w:t>
      </w:r>
      <w:r w:rsidR="00EE1BAB">
        <w:rPr>
          <w:rFonts w:ascii="Times New Roman" w:hAnsi="Times New Roman"/>
          <w:sz w:val="24"/>
        </w:rPr>
        <w:t xml:space="preserve"> </w:t>
      </w:r>
      <w:r w:rsidR="00704857">
        <w:rPr>
          <w:rFonts w:ascii="Times New Roman" w:hAnsi="Times New Roman"/>
          <w:sz w:val="24"/>
        </w:rPr>
        <w:t>a density figure at the lower end of the 40-60 dph range or possibly below i</w:t>
      </w:r>
      <w:r w:rsidR="005F4844">
        <w:rPr>
          <w:rFonts w:ascii="Times New Roman" w:hAnsi="Times New Roman"/>
          <w:sz w:val="24"/>
        </w:rPr>
        <w:t>t across the sites</w:t>
      </w:r>
      <w:r w:rsidR="005F4844">
        <w:rPr>
          <w:rStyle w:val="FootnoteReference"/>
          <w:rFonts w:ascii="Times New Roman" w:hAnsi="Times New Roman"/>
          <w:sz w:val="24"/>
        </w:rPr>
        <w:footnoteReference w:id="37"/>
      </w:r>
      <w:r w:rsidR="005F4844">
        <w:rPr>
          <w:rFonts w:ascii="Times New Roman" w:hAnsi="Times New Roman"/>
          <w:sz w:val="24"/>
        </w:rPr>
        <w:t xml:space="preserve">. It provides a density range </w:t>
      </w:r>
      <w:r w:rsidR="005F4844">
        <w:rPr>
          <w:rFonts w:ascii="Times New Roman" w:hAnsi="Times New Roman"/>
          <w:sz w:val="24"/>
        </w:rPr>
        <w:lastRenderedPageBreak/>
        <w:t xml:space="preserve">in table 8 based on </w:t>
      </w:r>
      <w:r w:rsidR="00135318">
        <w:rPr>
          <w:rFonts w:ascii="Times New Roman" w:hAnsi="Times New Roman"/>
          <w:sz w:val="24"/>
        </w:rPr>
        <w:t xml:space="preserve">the 40-60 range, and </w:t>
      </w:r>
      <w:r w:rsidR="0025708B">
        <w:rPr>
          <w:rFonts w:ascii="Times New Roman" w:hAnsi="Times New Roman"/>
          <w:sz w:val="24"/>
        </w:rPr>
        <w:t xml:space="preserve">Fig 20 illustrates </w:t>
      </w:r>
      <w:r w:rsidR="002625FD">
        <w:rPr>
          <w:rFonts w:ascii="Times New Roman" w:hAnsi="Times New Roman"/>
          <w:sz w:val="24"/>
        </w:rPr>
        <w:t>areas</w:t>
      </w:r>
      <w:r w:rsidR="0025708B">
        <w:rPr>
          <w:rFonts w:ascii="Times New Roman" w:hAnsi="Times New Roman"/>
          <w:sz w:val="24"/>
        </w:rPr>
        <w:t xml:space="preserve"> of </w:t>
      </w:r>
      <w:r w:rsidR="002625FD">
        <w:rPr>
          <w:rFonts w:ascii="Times New Roman" w:hAnsi="Times New Roman"/>
          <w:sz w:val="24"/>
        </w:rPr>
        <w:t>housing at</w:t>
      </w:r>
      <w:r w:rsidR="0025708B">
        <w:rPr>
          <w:rFonts w:ascii="Times New Roman" w:hAnsi="Times New Roman"/>
          <w:sz w:val="24"/>
        </w:rPr>
        <w:t xml:space="preserve"> 30 and 40dph.</w:t>
      </w:r>
    </w:p>
    <w:p w14:paraId="5FE13CE4" w14:textId="77777777" w:rsidR="0025708B" w:rsidRPr="0025708B" w:rsidRDefault="0025708B" w:rsidP="0025708B">
      <w:pPr>
        <w:pStyle w:val="ListParagraph"/>
        <w:rPr>
          <w:rFonts w:ascii="Times New Roman" w:hAnsi="Times New Roman"/>
          <w:sz w:val="24"/>
        </w:rPr>
      </w:pPr>
    </w:p>
    <w:p w14:paraId="4EF9DB84" w14:textId="19CF1E46" w:rsidR="0025708B" w:rsidRDefault="0025708B"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The Council calculates the scheme density at 28dph</w:t>
      </w:r>
      <w:r w:rsidR="00E30AE6">
        <w:rPr>
          <w:rFonts w:ascii="Times New Roman" w:hAnsi="Times New Roman"/>
          <w:sz w:val="24"/>
        </w:rPr>
        <w:t xml:space="preserve">, the appellant 30dph (the difference </w:t>
      </w:r>
      <w:r w:rsidR="004B346F">
        <w:rPr>
          <w:rFonts w:ascii="Times New Roman" w:hAnsi="Times New Roman"/>
          <w:sz w:val="24"/>
        </w:rPr>
        <w:t>being whether the regarded land area</w:t>
      </w:r>
      <w:r w:rsidR="004B0413">
        <w:rPr>
          <w:rFonts w:ascii="Times New Roman" w:hAnsi="Times New Roman"/>
          <w:sz w:val="24"/>
        </w:rPr>
        <w:t xml:space="preserve"> in the northern planting area</w:t>
      </w:r>
      <w:r w:rsidR="004B346F">
        <w:rPr>
          <w:rFonts w:ascii="Times New Roman" w:hAnsi="Times New Roman"/>
          <w:sz w:val="24"/>
        </w:rPr>
        <w:t xml:space="preserve"> should form part of the development</w:t>
      </w:r>
      <w:r w:rsidR="004B0413">
        <w:rPr>
          <w:rFonts w:ascii="Times New Roman" w:hAnsi="Times New Roman"/>
          <w:sz w:val="24"/>
        </w:rPr>
        <w:t xml:space="preserve"> area</w:t>
      </w:r>
      <w:r w:rsidR="004B0413">
        <w:rPr>
          <w:rStyle w:val="FootnoteReference"/>
          <w:rFonts w:ascii="Times New Roman" w:hAnsi="Times New Roman"/>
          <w:sz w:val="24"/>
        </w:rPr>
        <w:footnoteReference w:id="38"/>
      </w:r>
      <w:r w:rsidR="00D57830">
        <w:rPr>
          <w:rFonts w:ascii="Times New Roman" w:hAnsi="Times New Roman"/>
          <w:sz w:val="24"/>
        </w:rPr>
        <w:t>)</w:t>
      </w:r>
      <w:r w:rsidR="004B0413">
        <w:rPr>
          <w:rFonts w:ascii="Times New Roman" w:hAnsi="Times New Roman"/>
          <w:sz w:val="24"/>
        </w:rPr>
        <w:t xml:space="preserve">. Either way it is clear that the density is well below the expectations of development plan policy and the Brief, and the Council’s view as explained by Mr Hull is that the proposal amounts to the inefficient use of land. </w:t>
      </w:r>
    </w:p>
    <w:p w14:paraId="467EB184" w14:textId="77777777" w:rsidR="00727915" w:rsidRPr="00727915" w:rsidRDefault="00727915" w:rsidP="00727915">
      <w:pPr>
        <w:pStyle w:val="ListParagraph"/>
        <w:rPr>
          <w:rFonts w:ascii="Times New Roman" w:hAnsi="Times New Roman"/>
          <w:sz w:val="24"/>
        </w:rPr>
      </w:pPr>
    </w:p>
    <w:p w14:paraId="490E5925" w14:textId="5B11FB58" w:rsidR="00727915" w:rsidRDefault="00727915"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Efficient use of land should not be equated to “output”</w:t>
      </w:r>
      <w:r w:rsidR="00BB3DD2">
        <w:rPr>
          <w:rFonts w:ascii="Times New Roman" w:hAnsi="Times New Roman"/>
          <w:sz w:val="24"/>
        </w:rPr>
        <w:t xml:space="preserve"> in terms of number of dwellings</w:t>
      </w:r>
      <w:r>
        <w:rPr>
          <w:rStyle w:val="FootnoteReference"/>
          <w:rFonts w:ascii="Times New Roman" w:hAnsi="Times New Roman"/>
          <w:sz w:val="24"/>
        </w:rPr>
        <w:footnoteReference w:id="39"/>
      </w:r>
      <w:r>
        <w:rPr>
          <w:rFonts w:ascii="Times New Roman" w:hAnsi="Times New Roman"/>
          <w:sz w:val="24"/>
        </w:rPr>
        <w:t>. A</w:t>
      </w:r>
      <w:r w:rsidR="00BB3DD2">
        <w:rPr>
          <w:rFonts w:ascii="Times New Roman" w:hAnsi="Times New Roman"/>
          <w:sz w:val="24"/>
        </w:rPr>
        <w:t xml:space="preserve"> particular output can be achieved in a number of ways through a different </w:t>
      </w:r>
      <w:r w:rsidR="00844EB3">
        <w:rPr>
          <w:rFonts w:ascii="Times New Roman" w:hAnsi="Times New Roman"/>
          <w:sz w:val="24"/>
        </w:rPr>
        <w:t>layout/a</w:t>
      </w:r>
      <w:r w:rsidR="00143216">
        <w:rPr>
          <w:rFonts w:ascii="Times New Roman" w:hAnsi="Times New Roman"/>
          <w:sz w:val="24"/>
        </w:rPr>
        <w:t>rr</w:t>
      </w:r>
      <w:r w:rsidR="00844EB3">
        <w:rPr>
          <w:rFonts w:ascii="Times New Roman" w:hAnsi="Times New Roman"/>
          <w:sz w:val="24"/>
        </w:rPr>
        <w:t>angement, a different range</w:t>
      </w:r>
      <w:r w:rsidR="00BB3DD2">
        <w:rPr>
          <w:rFonts w:ascii="Times New Roman" w:hAnsi="Times New Roman"/>
          <w:sz w:val="24"/>
        </w:rPr>
        <w:t xml:space="preserve"> unit sizes, different plot sizes</w:t>
      </w:r>
      <w:r w:rsidR="001965B3">
        <w:rPr>
          <w:rFonts w:ascii="Times New Roman" w:hAnsi="Times New Roman"/>
          <w:sz w:val="24"/>
        </w:rPr>
        <w:t>, a different balance between built and green space (as Mr Walshaw agreed</w:t>
      </w:r>
      <w:r w:rsidR="001965B3">
        <w:rPr>
          <w:rStyle w:val="FootnoteReference"/>
          <w:rFonts w:ascii="Times New Roman" w:hAnsi="Times New Roman"/>
          <w:sz w:val="24"/>
        </w:rPr>
        <w:footnoteReference w:id="40"/>
      </w:r>
      <w:r w:rsidR="00E47447">
        <w:rPr>
          <w:rFonts w:ascii="Times New Roman" w:hAnsi="Times New Roman"/>
          <w:sz w:val="24"/>
        </w:rPr>
        <w:t>)</w:t>
      </w:r>
      <w:r w:rsidR="001965B3">
        <w:rPr>
          <w:rFonts w:ascii="Times New Roman" w:hAnsi="Times New Roman"/>
          <w:sz w:val="24"/>
        </w:rPr>
        <w:t xml:space="preserve">. Careful consideration of the appeal layout and </w:t>
      </w:r>
      <w:r w:rsidR="00DF533D">
        <w:rPr>
          <w:rFonts w:ascii="Times New Roman" w:hAnsi="Times New Roman"/>
          <w:sz w:val="24"/>
        </w:rPr>
        <w:t xml:space="preserve">house types shows that the appeal layout deploys large footprints, and little greenspace within the housing area. </w:t>
      </w:r>
      <w:r w:rsidR="001E425B">
        <w:rPr>
          <w:rFonts w:ascii="Times New Roman" w:hAnsi="Times New Roman"/>
          <w:sz w:val="24"/>
        </w:rPr>
        <w:t xml:space="preserve">This reduces the efficiency of the land use, and reduces the opportunity for character-enhancing green space. CD1.3B and Mr Walshaw’s </w:t>
      </w:r>
      <w:r w:rsidR="00D32B40">
        <w:rPr>
          <w:rFonts w:ascii="Times New Roman" w:hAnsi="Times New Roman"/>
          <w:sz w:val="24"/>
        </w:rPr>
        <w:t>Appendix 13 shows a number of large footprint 4 and 5 bedroom</w:t>
      </w:r>
      <w:r w:rsidR="00AF320C">
        <w:rPr>
          <w:rFonts w:ascii="Times New Roman" w:hAnsi="Times New Roman"/>
          <w:sz w:val="24"/>
        </w:rPr>
        <w:t xml:space="preserve"> detached houses</w:t>
      </w:r>
      <w:r w:rsidR="000E4B6F">
        <w:rPr>
          <w:rFonts w:ascii="Times New Roman" w:hAnsi="Times New Roman"/>
          <w:sz w:val="24"/>
        </w:rPr>
        <w:t xml:space="preserve"> with floorspace</w:t>
      </w:r>
      <w:r w:rsidR="00155EFB">
        <w:rPr>
          <w:rFonts w:ascii="Times New Roman" w:hAnsi="Times New Roman"/>
          <w:sz w:val="24"/>
        </w:rPr>
        <w:t xml:space="preserve"> figures up to 1759 sq ft. The footprints are up to </w:t>
      </w:r>
      <w:r w:rsidR="00F60EB3">
        <w:rPr>
          <w:rFonts w:ascii="Times New Roman" w:hAnsi="Times New Roman"/>
          <w:sz w:val="24"/>
        </w:rPr>
        <w:t xml:space="preserve">127m for the 5 beds and 104 sq m for the 4 beds. Consideration of the other house types, including the affordable, show the ability for family housing to be delivered with much more efficient </w:t>
      </w:r>
      <w:r w:rsidR="009236A2">
        <w:rPr>
          <w:rFonts w:ascii="Times New Roman" w:hAnsi="Times New Roman"/>
          <w:sz w:val="24"/>
        </w:rPr>
        <w:t xml:space="preserve">land take. This is also demonstrated through the affordable housing units which are delivered at much higher density while still providing a range of housing including family housing. </w:t>
      </w:r>
      <w:r w:rsidR="00E124D4">
        <w:rPr>
          <w:rFonts w:ascii="Times New Roman" w:hAnsi="Times New Roman"/>
          <w:sz w:val="24"/>
        </w:rPr>
        <w:t xml:space="preserve">This is clearly seen by considering the house types listed in CD 1.3B, the footprints and ratios in App. 13. </w:t>
      </w:r>
      <w:r w:rsidR="00815B7E">
        <w:rPr>
          <w:rFonts w:ascii="Times New Roman" w:hAnsi="Times New Roman"/>
          <w:sz w:val="24"/>
        </w:rPr>
        <w:t>A reduction in built footprint</w:t>
      </w:r>
      <w:r w:rsidR="003B279D">
        <w:rPr>
          <w:rFonts w:ascii="Times New Roman" w:hAnsi="Times New Roman"/>
          <w:sz w:val="24"/>
        </w:rPr>
        <w:t xml:space="preserve"> enables more space for green space and open space</w:t>
      </w:r>
      <w:r w:rsidR="00EF4FAE">
        <w:rPr>
          <w:rFonts w:ascii="Times New Roman" w:hAnsi="Times New Roman"/>
          <w:sz w:val="24"/>
        </w:rPr>
        <w:t>, or for both more green space and a higher number of smaller u</w:t>
      </w:r>
      <w:r w:rsidR="00104A97">
        <w:rPr>
          <w:rFonts w:ascii="Times New Roman" w:hAnsi="Times New Roman"/>
          <w:sz w:val="24"/>
        </w:rPr>
        <w:t>n</w:t>
      </w:r>
      <w:r w:rsidR="00EF4FAE">
        <w:rPr>
          <w:rFonts w:ascii="Times New Roman" w:hAnsi="Times New Roman"/>
          <w:sz w:val="24"/>
        </w:rPr>
        <w:t>its depending on the specific design, and so a different balance of development</w:t>
      </w:r>
      <w:r w:rsidR="00104A97">
        <w:rPr>
          <w:rFonts w:ascii="Times New Roman" w:hAnsi="Times New Roman"/>
          <w:sz w:val="24"/>
        </w:rPr>
        <w:t xml:space="preserve">. </w:t>
      </w:r>
      <w:r w:rsidR="00E124D4">
        <w:rPr>
          <w:rFonts w:ascii="Times New Roman" w:hAnsi="Times New Roman"/>
          <w:sz w:val="24"/>
        </w:rPr>
        <w:t xml:space="preserve">The market housing on site </w:t>
      </w:r>
      <w:r w:rsidR="000163E5">
        <w:rPr>
          <w:rFonts w:ascii="Times New Roman" w:hAnsi="Times New Roman"/>
          <w:sz w:val="24"/>
        </w:rPr>
        <w:t>proposes 22</w:t>
      </w:r>
      <w:r w:rsidR="00800F23">
        <w:rPr>
          <w:rFonts w:ascii="Times New Roman" w:hAnsi="Times New Roman"/>
          <w:sz w:val="24"/>
        </w:rPr>
        <w:t xml:space="preserve"> x 3 bed, 32 x 4 bed and 3 x 5 bed; it proposes</w:t>
      </w:r>
      <w:r w:rsidR="008A7723">
        <w:rPr>
          <w:rFonts w:ascii="Times New Roman" w:hAnsi="Times New Roman"/>
          <w:sz w:val="24"/>
        </w:rPr>
        <w:t xml:space="preserve"> 57 units of which 47 </w:t>
      </w:r>
      <w:r w:rsidR="00491340">
        <w:rPr>
          <w:rFonts w:ascii="Times New Roman" w:hAnsi="Times New Roman"/>
          <w:sz w:val="24"/>
        </w:rPr>
        <w:t>(82%</w:t>
      </w:r>
      <w:r w:rsidR="00F12AA6">
        <w:rPr>
          <w:rFonts w:ascii="Times New Roman" w:hAnsi="Times New Roman"/>
          <w:sz w:val="24"/>
        </w:rPr>
        <w:t>)</w:t>
      </w:r>
      <w:r w:rsidR="00491340">
        <w:rPr>
          <w:rFonts w:ascii="Times New Roman" w:hAnsi="Times New Roman"/>
          <w:sz w:val="24"/>
        </w:rPr>
        <w:t xml:space="preserve"> are detached and 10 are semi-detac</w:t>
      </w:r>
      <w:r w:rsidR="00DA2FA9">
        <w:rPr>
          <w:rFonts w:ascii="Times New Roman" w:hAnsi="Times New Roman"/>
          <w:sz w:val="24"/>
        </w:rPr>
        <w:t>h</w:t>
      </w:r>
      <w:r w:rsidR="00491340">
        <w:rPr>
          <w:rFonts w:ascii="Times New Roman" w:hAnsi="Times New Roman"/>
          <w:sz w:val="24"/>
        </w:rPr>
        <w:t xml:space="preserve">ed. None are terraced. The affordable units propose </w:t>
      </w:r>
      <w:r w:rsidR="00DA2FA9">
        <w:rPr>
          <w:rFonts w:ascii="Times New Roman" w:hAnsi="Times New Roman"/>
          <w:sz w:val="24"/>
        </w:rPr>
        <w:t xml:space="preserve">13 terraced units and one pair of semi-detached units. The density is a product of design and house type choice. </w:t>
      </w:r>
    </w:p>
    <w:p w14:paraId="15EB95D5" w14:textId="77777777" w:rsidR="00015031" w:rsidRDefault="00015031" w:rsidP="00015031">
      <w:pPr>
        <w:pStyle w:val="ListParagraph"/>
        <w:spacing w:line="360" w:lineRule="auto"/>
        <w:jc w:val="both"/>
        <w:rPr>
          <w:rFonts w:ascii="Times New Roman" w:hAnsi="Times New Roman"/>
          <w:sz w:val="24"/>
        </w:rPr>
      </w:pPr>
    </w:p>
    <w:p w14:paraId="7A3A2866" w14:textId="799F674A" w:rsidR="008C551B" w:rsidRDefault="008C551B"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lastRenderedPageBreak/>
        <w:t>The justification for this low density can be dealt with succinctly on the evidence presented to the inquiry:</w:t>
      </w:r>
    </w:p>
    <w:p w14:paraId="734A7738" w14:textId="5878E38A" w:rsidR="008C551B" w:rsidRDefault="008C551B" w:rsidP="008C551B">
      <w:pPr>
        <w:pStyle w:val="ListParagraph"/>
        <w:numPr>
          <w:ilvl w:val="0"/>
          <w:numId w:val="5"/>
        </w:numPr>
        <w:spacing w:line="360" w:lineRule="auto"/>
        <w:jc w:val="both"/>
        <w:rPr>
          <w:rFonts w:ascii="Times New Roman" w:hAnsi="Times New Roman"/>
          <w:sz w:val="24"/>
        </w:rPr>
      </w:pPr>
      <w:r>
        <w:rPr>
          <w:rFonts w:ascii="Times New Roman" w:hAnsi="Times New Roman"/>
          <w:sz w:val="24"/>
          <w:u w:val="single"/>
        </w:rPr>
        <w:t>Character</w:t>
      </w:r>
      <w:r>
        <w:rPr>
          <w:rFonts w:ascii="Times New Roman" w:hAnsi="Times New Roman"/>
          <w:sz w:val="24"/>
        </w:rPr>
        <w:t>: the DAS itself maintains that the</w:t>
      </w:r>
      <w:r w:rsidR="00834BCC">
        <w:rPr>
          <w:rFonts w:ascii="Times New Roman" w:hAnsi="Times New Roman"/>
          <w:sz w:val="24"/>
        </w:rPr>
        <w:t xml:space="preserve"> site provides the opportunity for a development of its own identity. This is a standalone development site governed by site specific design principles</w:t>
      </w:r>
      <w:r w:rsidR="004D48DE">
        <w:rPr>
          <w:rFonts w:ascii="Times New Roman" w:hAnsi="Times New Roman"/>
          <w:sz w:val="24"/>
        </w:rPr>
        <w:t xml:space="preserve">. The character of the area – including its negative features as referenced above – provides no </w:t>
      </w:r>
      <w:r w:rsidR="009301C0">
        <w:rPr>
          <w:rFonts w:ascii="Times New Roman" w:hAnsi="Times New Roman"/>
          <w:sz w:val="24"/>
        </w:rPr>
        <w:t>basis for an inefficient use of land.</w:t>
      </w:r>
    </w:p>
    <w:p w14:paraId="30BE0EEF" w14:textId="39F89923" w:rsidR="009301C0" w:rsidRDefault="009301C0" w:rsidP="008C551B">
      <w:pPr>
        <w:pStyle w:val="ListParagraph"/>
        <w:numPr>
          <w:ilvl w:val="0"/>
          <w:numId w:val="5"/>
        </w:numPr>
        <w:spacing w:line="360" w:lineRule="auto"/>
        <w:jc w:val="both"/>
        <w:rPr>
          <w:rFonts w:ascii="Times New Roman" w:hAnsi="Times New Roman"/>
          <w:sz w:val="24"/>
        </w:rPr>
      </w:pPr>
      <w:r w:rsidRPr="00C26F16">
        <w:rPr>
          <w:rFonts w:ascii="Times New Roman" w:hAnsi="Times New Roman"/>
          <w:sz w:val="24"/>
          <w:u w:val="single"/>
        </w:rPr>
        <w:t>Family Housing</w:t>
      </w:r>
      <w:r>
        <w:rPr>
          <w:rFonts w:ascii="Times New Roman" w:hAnsi="Times New Roman"/>
          <w:sz w:val="24"/>
        </w:rPr>
        <w:t xml:space="preserve">: Mrs Hull and Mr Bolton are agreed that family housing is generally 3-bed </w:t>
      </w:r>
      <w:r w:rsidR="00982EEC">
        <w:rPr>
          <w:rFonts w:ascii="Times New Roman" w:hAnsi="Times New Roman"/>
          <w:sz w:val="24"/>
        </w:rPr>
        <w:t>and above. The specific proposals are not justified by any requirement to provide family housing.</w:t>
      </w:r>
    </w:p>
    <w:p w14:paraId="1117AFE1" w14:textId="2DD1B3DB" w:rsidR="00982EEC" w:rsidRDefault="00982EEC" w:rsidP="008C551B">
      <w:pPr>
        <w:pStyle w:val="ListParagraph"/>
        <w:numPr>
          <w:ilvl w:val="0"/>
          <w:numId w:val="5"/>
        </w:numPr>
        <w:spacing w:line="360" w:lineRule="auto"/>
        <w:jc w:val="both"/>
        <w:rPr>
          <w:rFonts w:ascii="Times New Roman" w:hAnsi="Times New Roman"/>
          <w:sz w:val="24"/>
        </w:rPr>
      </w:pPr>
      <w:r w:rsidRPr="00C26F16">
        <w:rPr>
          <w:rFonts w:ascii="Times New Roman" w:hAnsi="Times New Roman"/>
          <w:sz w:val="24"/>
          <w:u w:val="single"/>
        </w:rPr>
        <w:t>Good design</w:t>
      </w:r>
      <w:r>
        <w:rPr>
          <w:rFonts w:ascii="Times New Roman" w:hAnsi="Times New Roman"/>
          <w:sz w:val="24"/>
        </w:rPr>
        <w:t xml:space="preserve">: The Council does not consider the proposals amount to good design. There is a clear overlap here between issues C and D. </w:t>
      </w:r>
      <w:r w:rsidR="00C26F16">
        <w:rPr>
          <w:rFonts w:ascii="Times New Roman" w:hAnsi="Times New Roman"/>
          <w:sz w:val="24"/>
        </w:rPr>
        <w:t>The site presents opportunities for a more balanced development.</w:t>
      </w:r>
    </w:p>
    <w:p w14:paraId="60EDA0F0" w14:textId="28847DC2" w:rsidR="00C26F16" w:rsidRDefault="00C26F16" w:rsidP="008C551B">
      <w:pPr>
        <w:pStyle w:val="ListParagraph"/>
        <w:numPr>
          <w:ilvl w:val="0"/>
          <w:numId w:val="5"/>
        </w:numPr>
        <w:spacing w:line="360" w:lineRule="auto"/>
        <w:jc w:val="both"/>
        <w:rPr>
          <w:rFonts w:ascii="Times New Roman" w:hAnsi="Times New Roman"/>
          <w:sz w:val="24"/>
        </w:rPr>
      </w:pPr>
      <w:r w:rsidRPr="00C26F16">
        <w:rPr>
          <w:rFonts w:ascii="Times New Roman" w:hAnsi="Times New Roman"/>
          <w:sz w:val="24"/>
          <w:u w:val="single"/>
        </w:rPr>
        <w:t>Topography</w:t>
      </w:r>
      <w:r>
        <w:rPr>
          <w:rFonts w:ascii="Times New Roman" w:hAnsi="Times New Roman"/>
          <w:sz w:val="24"/>
        </w:rPr>
        <w:t xml:space="preserve">: The appellant asserts that the density is justified by the particular topography, but this is not made out. </w:t>
      </w:r>
      <w:r w:rsidR="00765A95">
        <w:rPr>
          <w:rFonts w:ascii="Times New Roman" w:hAnsi="Times New Roman"/>
          <w:sz w:val="24"/>
        </w:rPr>
        <w:t>There is not a single plan or drawing which justifies an individual house width, garden depth, or plot size by reference to</w:t>
      </w:r>
      <w:r w:rsidR="00BF4EE0">
        <w:rPr>
          <w:rFonts w:ascii="Times New Roman" w:hAnsi="Times New Roman"/>
          <w:sz w:val="24"/>
        </w:rPr>
        <w:t xml:space="preserve"> topography, as Mr Walshaw agreed</w:t>
      </w:r>
      <w:r w:rsidR="00BF4EE0">
        <w:rPr>
          <w:rStyle w:val="FootnoteReference"/>
          <w:rFonts w:ascii="Times New Roman" w:hAnsi="Times New Roman"/>
          <w:sz w:val="24"/>
        </w:rPr>
        <w:footnoteReference w:id="41"/>
      </w:r>
      <w:r w:rsidR="00BF4EE0">
        <w:rPr>
          <w:rFonts w:ascii="Times New Roman" w:hAnsi="Times New Roman"/>
          <w:sz w:val="24"/>
        </w:rPr>
        <w:t xml:space="preserve">. Further, the levels vary across the site and CD1.6B makes clear that there are </w:t>
      </w:r>
      <w:r w:rsidR="00F174CB">
        <w:rPr>
          <w:rFonts w:ascii="Times New Roman" w:hAnsi="Times New Roman"/>
          <w:sz w:val="24"/>
        </w:rPr>
        <w:t>many</w:t>
      </w:r>
      <w:r w:rsidR="00BF4EE0">
        <w:rPr>
          <w:rFonts w:ascii="Times New Roman" w:hAnsi="Times New Roman"/>
          <w:sz w:val="24"/>
        </w:rPr>
        <w:t xml:space="preserve"> sections where levels present no particular issue. </w:t>
      </w:r>
      <w:r w:rsidR="00995925">
        <w:rPr>
          <w:rFonts w:ascii="Times New Roman" w:hAnsi="Times New Roman"/>
          <w:sz w:val="24"/>
        </w:rPr>
        <w:t>The DAS makes no reference to a density or character driven by levels</w:t>
      </w:r>
      <w:r w:rsidR="000047E4">
        <w:rPr>
          <w:rFonts w:ascii="Times New Roman" w:hAnsi="Times New Roman"/>
          <w:sz w:val="24"/>
        </w:rPr>
        <w:t xml:space="preserve"> As Mrs Hull explained</w:t>
      </w:r>
      <w:r w:rsidR="00995925">
        <w:rPr>
          <w:rFonts w:ascii="Times New Roman" w:hAnsi="Times New Roman"/>
          <w:sz w:val="24"/>
        </w:rPr>
        <w:t>. The</w:t>
      </w:r>
      <w:r w:rsidR="003B4983">
        <w:rPr>
          <w:rFonts w:ascii="Times New Roman" w:hAnsi="Times New Roman"/>
          <w:sz w:val="24"/>
        </w:rPr>
        <w:t xml:space="preserve"> drawings relating to character zones within the site are inconsistent as between Mr Walshaw’s proof of evidence (App. </w:t>
      </w:r>
      <w:r w:rsidR="00F471F9">
        <w:rPr>
          <w:rFonts w:ascii="Times New Roman" w:hAnsi="Times New Roman"/>
          <w:sz w:val="24"/>
        </w:rPr>
        <w:t>23) and his rebuttal (page</w:t>
      </w:r>
      <w:r w:rsidR="000907B8">
        <w:rPr>
          <w:rFonts w:ascii="Times New Roman" w:hAnsi="Times New Roman"/>
          <w:sz w:val="24"/>
        </w:rPr>
        <w:t xml:space="preserve"> 9). Reference is made to section L-L in CD 1.6B but as Mrs Hull pointed out</w:t>
      </w:r>
      <w:r w:rsidR="005F12F1">
        <w:rPr>
          <w:rFonts w:ascii="Times New Roman" w:hAnsi="Times New Roman"/>
          <w:sz w:val="24"/>
        </w:rPr>
        <w:t xml:space="preserve"> insofar as this suggests level difficulties to the southern part of the site, the southern corner of the development where the affordable housing is proposed </w:t>
      </w:r>
      <w:r w:rsidR="00F174CB">
        <w:rPr>
          <w:rFonts w:ascii="Times New Roman" w:hAnsi="Times New Roman"/>
          <w:sz w:val="24"/>
        </w:rPr>
        <w:t>delivers</w:t>
      </w:r>
      <w:r w:rsidR="005F12F1">
        <w:rPr>
          <w:rFonts w:ascii="Times New Roman" w:hAnsi="Times New Roman"/>
          <w:sz w:val="24"/>
        </w:rPr>
        <w:t xml:space="preserve"> the highest densities across the site. </w:t>
      </w:r>
      <w:r w:rsidR="00BA75FE">
        <w:rPr>
          <w:rFonts w:ascii="Times New Roman" w:hAnsi="Times New Roman"/>
          <w:sz w:val="24"/>
        </w:rPr>
        <w:t xml:space="preserve">As she also noted, Mr Walshaw’s rebuttal itself acknowledges that there are different options as to how to deal with levels including fronting the boundary as per the brief, but stepping down through a range of retaining walls, and split levelled or sloping gardens. </w:t>
      </w:r>
      <w:r w:rsidR="009043C1">
        <w:rPr>
          <w:rFonts w:ascii="Times New Roman" w:hAnsi="Times New Roman"/>
          <w:sz w:val="24"/>
        </w:rPr>
        <w:t>No specific sections have been presented for this sout</w:t>
      </w:r>
      <w:r w:rsidR="00E037E8">
        <w:rPr>
          <w:rFonts w:ascii="Times New Roman" w:hAnsi="Times New Roman"/>
          <w:sz w:val="24"/>
        </w:rPr>
        <w:t>hern</w:t>
      </w:r>
      <w:r w:rsidR="009043C1">
        <w:rPr>
          <w:rFonts w:ascii="Times New Roman" w:hAnsi="Times New Roman"/>
          <w:sz w:val="24"/>
        </w:rPr>
        <w:t xml:space="preserve"> part of the site</w:t>
      </w:r>
      <w:r w:rsidR="00E037E8">
        <w:rPr>
          <w:rFonts w:ascii="Times New Roman" w:hAnsi="Times New Roman"/>
          <w:sz w:val="24"/>
        </w:rPr>
        <w:t xml:space="preserve"> showing how higher density is delivered alongside managing level changes. </w:t>
      </w:r>
    </w:p>
    <w:p w14:paraId="0699B026" w14:textId="77777777" w:rsidR="004A409E" w:rsidRDefault="004A409E" w:rsidP="004A409E">
      <w:pPr>
        <w:pStyle w:val="ListParagraph"/>
        <w:spacing w:line="360" w:lineRule="auto"/>
        <w:ind w:left="1800"/>
        <w:jc w:val="both"/>
        <w:rPr>
          <w:rFonts w:ascii="Times New Roman" w:hAnsi="Times New Roman"/>
          <w:sz w:val="24"/>
        </w:rPr>
      </w:pPr>
    </w:p>
    <w:p w14:paraId="1B2C750C" w14:textId="2BC1BB0D" w:rsidR="00DC311B" w:rsidRPr="00DC311B" w:rsidRDefault="00DC311B" w:rsidP="00DC311B">
      <w:pPr>
        <w:pStyle w:val="ListParagraph"/>
        <w:numPr>
          <w:ilvl w:val="0"/>
          <w:numId w:val="1"/>
        </w:numPr>
        <w:spacing w:line="360" w:lineRule="auto"/>
        <w:jc w:val="both"/>
        <w:rPr>
          <w:rFonts w:ascii="Times New Roman" w:hAnsi="Times New Roman"/>
          <w:sz w:val="24"/>
        </w:rPr>
      </w:pPr>
      <w:r>
        <w:rPr>
          <w:rFonts w:ascii="Times New Roman" w:hAnsi="Times New Roman"/>
          <w:sz w:val="24"/>
        </w:rPr>
        <w:t>For all these reasons, the proposals</w:t>
      </w:r>
      <w:r w:rsidR="004A409E">
        <w:rPr>
          <w:rFonts w:ascii="Times New Roman" w:hAnsi="Times New Roman"/>
          <w:sz w:val="24"/>
        </w:rPr>
        <w:t xml:space="preserve"> represent an unjustified and inefficient use of land.</w:t>
      </w:r>
    </w:p>
    <w:p w14:paraId="6B0BE0FB" w14:textId="77777777" w:rsidR="00015031" w:rsidRPr="00015031" w:rsidRDefault="00015031" w:rsidP="00015031">
      <w:pPr>
        <w:rPr>
          <w:rFonts w:ascii="Times New Roman" w:hAnsi="Times New Roman"/>
          <w:sz w:val="24"/>
        </w:rPr>
      </w:pPr>
    </w:p>
    <w:p w14:paraId="085F775A" w14:textId="66050CF9" w:rsidR="00F958FD" w:rsidRDefault="00F958FD" w:rsidP="001F6F2B">
      <w:pPr>
        <w:spacing w:line="360" w:lineRule="auto"/>
        <w:ind w:left="360"/>
        <w:jc w:val="both"/>
        <w:rPr>
          <w:rFonts w:ascii="Times New Roman" w:hAnsi="Times New Roman"/>
          <w:b/>
          <w:bCs/>
          <w:sz w:val="24"/>
        </w:rPr>
      </w:pPr>
      <w:r w:rsidRPr="000B1A98">
        <w:rPr>
          <w:rFonts w:ascii="Times New Roman" w:hAnsi="Times New Roman"/>
          <w:b/>
          <w:bCs/>
          <w:sz w:val="24"/>
        </w:rPr>
        <w:t>E: Integration of Affordable Housing</w:t>
      </w:r>
    </w:p>
    <w:p w14:paraId="55EAE90A" w14:textId="0FD07AE1" w:rsidR="00CA7A09" w:rsidRPr="00CA7A09" w:rsidRDefault="00CA7A09" w:rsidP="00CA7A09">
      <w:pPr>
        <w:spacing w:line="360" w:lineRule="auto"/>
        <w:ind w:left="360"/>
        <w:jc w:val="both"/>
        <w:rPr>
          <w:rFonts w:ascii="Times New Roman" w:hAnsi="Times New Roman"/>
          <w:sz w:val="24"/>
        </w:rPr>
      </w:pPr>
      <w:r w:rsidRPr="00CA7A09">
        <w:rPr>
          <w:rFonts w:ascii="Times New Roman" w:hAnsi="Times New Roman"/>
          <w:sz w:val="24"/>
          <w:u w:val="single"/>
        </w:rPr>
        <w:t>Policy</w:t>
      </w:r>
    </w:p>
    <w:p w14:paraId="0A4B14A9" w14:textId="123AA73A" w:rsidR="00C82778" w:rsidRDefault="00A81759" w:rsidP="00665626">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 Council’s</w:t>
      </w:r>
      <w:r w:rsidR="008E54D5" w:rsidRPr="000B1A98">
        <w:rPr>
          <w:rFonts w:ascii="Times New Roman" w:hAnsi="Times New Roman"/>
          <w:sz w:val="24"/>
        </w:rPr>
        <w:t xml:space="preserve"> SPD on affordable housing</w:t>
      </w:r>
      <w:r w:rsidR="00B304B6" w:rsidRPr="000B1A98">
        <w:rPr>
          <w:rFonts w:ascii="Times New Roman" w:hAnsi="Times New Roman"/>
          <w:sz w:val="24"/>
        </w:rPr>
        <w:t xml:space="preserve"> (CD 5.16) </w:t>
      </w:r>
      <w:r w:rsidR="00890C03" w:rsidRPr="000B1A98">
        <w:rPr>
          <w:rFonts w:ascii="Times New Roman" w:hAnsi="Times New Roman"/>
          <w:sz w:val="24"/>
        </w:rPr>
        <w:t xml:space="preserve">insists that </w:t>
      </w:r>
      <w:r w:rsidR="005365BE" w:rsidRPr="000B1A98">
        <w:rPr>
          <w:rFonts w:ascii="Times New Roman" w:hAnsi="Times New Roman"/>
          <w:sz w:val="24"/>
        </w:rPr>
        <w:t>affordable</w:t>
      </w:r>
      <w:r w:rsidR="00890C03" w:rsidRPr="000B1A98">
        <w:rPr>
          <w:rFonts w:ascii="Times New Roman" w:hAnsi="Times New Roman"/>
          <w:sz w:val="24"/>
        </w:rPr>
        <w:t xml:space="preserve"> housing should not be differentiated by design, quality, specification</w:t>
      </w:r>
      <w:r w:rsidR="005365BE" w:rsidRPr="000B1A98">
        <w:rPr>
          <w:rFonts w:ascii="Times New Roman" w:hAnsi="Times New Roman"/>
          <w:sz w:val="24"/>
        </w:rPr>
        <w:t>, or by location within the site (policy</w:t>
      </w:r>
      <w:r w:rsidR="00C82778" w:rsidRPr="000B1A98">
        <w:rPr>
          <w:rFonts w:ascii="Times New Roman" w:hAnsi="Times New Roman"/>
          <w:sz w:val="24"/>
        </w:rPr>
        <w:t xml:space="preserve"> GAH5).</w:t>
      </w:r>
      <w:r w:rsidR="00146CEF">
        <w:rPr>
          <w:rFonts w:ascii="Times New Roman" w:hAnsi="Times New Roman"/>
          <w:sz w:val="24"/>
        </w:rPr>
        <w:t xml:space="preserve"> There is no reason to seek to add any gloss or to re-write this guidance – its meaning is clear. It is reinforced by the </w:t>
      </w:r>
      <w:r w:rsidR="00807FF6">
        <w:rPr>
          <w:rFonts w:ascii="Times New Roman" w:hAnsi="Times New Roman"/>
          <w:sz w:val="24"/>
        </w:rPr>
        <w:t xml:space="preserve">section on how the guidance will be implemented which refers to </w:t>
      </w:r>
      <w:r w:rsidR="00312D3B">
        <w:rPr>
          <w:rFonts w:ascii="Times New Roman" w:hAnsi="Times New Roman"/>
          <w:sz w:val="24"/>
        </w:rPr>
        <w:t>ensuring that the</w:t>
      </w:r>
      <w:r w:rsidR="005D72B8">
        <w:rPr>
          <w:rFonts w:ascii="Times New Roman" w:hAnsi="Times New Roman"/>
          <w:sz w:val="24"/>
        </w:rPr>
        <w:t xml:space="preserve"> affordable housing units are </w:t>
      </w:r>
      <w:r w:rsidR="005D72B8" w:rsidRPr="005D72B8">
        <w:rPr>
          <w:rFonts w:ascii="Times New Roman" w:hAnsi="Times New Roman"/>
          <w:sz w:val="24"/>
          <w:u w:val="single"/>
        </w:rPr>
        <w:t>integrated</w:t>
      </w:r>
      <w:r w:rsidR="005D72B8">
        <w:rPr>
          <w:rFonts w:ascii="Times New Roman" w:hAnsi="Times New Roman"/>
          <w:sz w:val="24"/>
        </w:rPr>
        <w:t xml:space="preserve"> into the scheme, and that the specification of the affordable uni</w:t>
      </w:r>
      <w:r w:rsidR="004A6C7B">
        <w:rPr>
          <w:rFonts w:ascii="Times New Roman" w:hAnsi="Times New Roman"/>
          <w:sz w:val="24"/>
        </w:rPr>
        <w:t>t</w:t>
      </w:r>
      <w:r w:rsidR="005D72B8">
        <w:rPr>
          <w:rFonts w:ascii="Times New Roman" w:hAnsi="Times New Roman"/>
          <w:sz w:val="24"/>
        </w:rPr>
        <w:t xml:space="preserve">s is </w:t>
      </w:r>
      <w:r w:rsidR="005D72B8">
        <w:rPr>
          <w:rFonts w:ascii="Times New Roman" w:hAnsi="Times New Roman"/>
          <w:sz w:val="24"/>
          <w:u w:val="single"/>
        </w:rPr>
        <w:t>equivalent</w:t>
      </w:r>
      <w:r w:rsidR="005D72B8">
        <w:rPr>
          <w:rFonts w:ascii="Times New Roman" w:hAnsi="Times New Roman"/>
          <w:sz w:val="24"/>
        </w:rPr>
        <w:t xml:space="preserve"> to the market units. This is consistent with the creation of </w:t>
      </w:r>
      <w:r w:rsidR="005F0B1C">
        <w:rPr>
          <w:rFonts w:ascii="Times New Roman" w:hAnsi="Times New Roman"/>
          <w:sz w:val="24"/>
        </w:rPr>
        <w:t>inclusive communities</w:t>
      </w:r>
      <w:r w:rsidR="001D7E2D">
        <w:rPr>
          <w:rFonts w:ascii="Times New Roman" w:hAnsi="Times New Roman"/>
          <w:sz w:val="24"/>
        </w:rPr>
        <w:t xml:space="preserve"> and social integration (as per Mrs Hull at </w:t>
      </w:r>
      <w:r w:rsidR="00864453">
        <w:rPr>
          <w:rFonts w:ascii="Times New Roman" w:hAnsi="Times New Roman"/>
          <w:sz w:val="24"/>
        </w:rPr>
        <w:t xml:space="preserve">6.61 and </w:t>
      </w:r>
      <w:r w:rsidR="001D7E2D">
        <w:rPr>
          <w:rFonts w:ascii="Times New Roman" w:hAnsi="Times New Roman"/>
          <w:sz w:val="24"/>
        </w:rPr>
        <w:t>6.68)</w:t>
      </w:r>
      <w:r w:rsidR="005F0B1C">
        <w:rPr>
          <w:rFonts w:ascii="Times New Roman" w:hAnsi="Times New Roman"/>
          <w:sz w:val="24"/>
        </w:rPr>
        <w:t>. C</w:t>
      </w:r>
      <w:r w:rsidR="006C5A02">
        <w:rPr>
          <w:rFonts w:ascii="Times New Roman" w:hAnsi="Times New Roman"/>
          <w:sz w:val="24"/>
        </w:rPr>
        <w:t xml:space="preserve">ore </w:t>
      </w:r>
      <w:r w:rsidR="005F0B1C">
        <w:rPr>
          <w:rFonts w:ascii="Times New Roman" w:hAnsi="Times New Roman"/>
          <w:sz w:val="24"/>
        </w:rPr>
        <w:t>S</w:t>
      </w:r>
      <w:r w:rsidR="006C5A02">
        <w:rPr>
          <w:rFonts w:ascii="Times New Roman" w:hAnsi="Times New Roman"/>
          <w:sz w:val="24"/>
        </w:rPr>
        <w:t>trategy</w:t>
      </w:r>
      <w:r w:rsidR="005F0B1C">
        <w:rPr>
          <w:rFonts w:ascii="Times New Roman" w:hAnsi="Times New Roman"/>
          <w:sz w:val="24"/>
        </w:rPr>
        <w:t xml:space="preserve"> policy </w:t>
      </w:r>
      <w:r w:rsidR="006C5A02">
        <w:rPr>
          <w:rFonts w:ascii="Times New Roman" w:hAnsi="Times New Roman"/>
          <w:sz w:val="24"/>
        </w:rPr>
        <w:t>CS40</w:t>
      </w:r>
      <w:r w:rsidR="00AD09F5">
        <w:rPr>
          <w:rFonts w:ascii="Times New Roman" w:hAnsi="Times New Roman"/>
          <w:sz w:val="24"/>
        </w:rPr>
        <w:t xml:space="preserve"> provides that new housing must contribute to the provision of affordable housing and the supporting text makes clear that </w:t>
      </w:r>
      <w:r w:rsidR="00551646">
        <w:rPr>
          <w:rFonts w:ascii="Times New Roman" w:hAnsi="Times New Roman"/>
          <w:sz w:val="24"/>
        </w:rPr>
        <w:t xml:space="preserve">the way in which affordable housing should be provided will be addressed through supplementary planning guidance. </w:t>
      </w:r>
    </w:p>
    <w:p w14:paraId="3B307549" w14:textId="544E3567" w:rsidR="004A6C7B" w:rsidRDefault="004A6C7B" w:rsidP="00757763">
      <w:pPr>
        <w:pStyle w:val="ListParagraph"/>
        <w:spacing w:line="360" w:lineRule="auto"/>
        <w:jc w:val="both"/>
        <w:rPr>
          <w:rFonts w:ascii="Times New Roman" w:hAnsi="Times New Roman"/>
          <w:sz w:val="24"/>
        </w:rPr>
      </w:pPr>
    </w:p>
    <w:p w14:paraId="0A40B465" w14:textId="174B597A" w:rsidR="004A6C7B" w:rsidRDefault="004A6C7B"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Mrs Hull explained why in her view the scheme differentiates</w:t>
      </w:r>
      <w:r w:rsidR="00027BB0">
        <w:rPr>
          <w:rFonts w:ascii="Times New Roman" w:hAnsi="Times New Roman"/>
          <w:sz w:val="24"/>
        </w:rPr>
        <w:t xml:space="preserve"> the affordable housing in terms of its design, quality, specification and location within the site. This is set out in her proof of evidence </w:t>
      </w:r>
      <w:r w:rsidR="00D80EE8">
        <w:rPr>
          <w:rFonts w:ascii="Times New Roman" w:hAnsi="Times New Roman"/>
          <w:sz w:val="24"/>
        </w:rPr>
        <w:t>from 6.51 to</w:t>
      </w:r>
      <w:r w:rsidR="003C0019">
        <w:rPr>
          <w:rFonts w:ascii="Times New Roman" w:hAnsi="Times New Roman"/>
          <w:sz w:val="24"/>
        </w:rPr>
        <w:t xml:space="preserve"> 6.62, and this is not repeated. In summary, the affordable housing is predominantly clustered in the southern part of the developme</w:t>
      </w:r>
      <w:r w:rsidR="005512CA">
        <w:rPr>
          <w:rFonts w:ascii="Times New Roman" w:hAnsi="Times New Roman"/>
          <w:sz w:val="24"/>
        </w:rPr>
        <w:t>nt in the highest part of the site. It comprises almost entirely terraced units, which do not feature in the market housing. It looks out over a parking court, the only parking court in the site, it</w:t>
      </w:r>
      <w:r w:rsidR="005A719A">
        <w:rPr>
          <w:rFonts w:ascii="Times New Roman" w:hAnsi="Times New Roman"/>
          <w:sz w:val="24"/>
        </w:rPr>
        <w:t xml:space="preserve"> has small plots which back onto the retaining wall along the southern boundary. </w:t>
      </w:r>
      <w:r w:rsidR="0043202F">
        <w:rPr>
          <w:rFonts w:ascii="Times New Roman" w:hAnsi="Times New Roman"/>
          <w:sz w:val="24"/>
        </w:rPr>
        <w:t>Overall it has notably lower amenity than the market units</w:t>
      </w:r>
      <w:r w:rsidR="00160DAF">
        <w:rPr>
          <w:rFonts w:ascii="Times New Roman" w:hAnsi="Times New Roman"/>
          <w:sz w:val="24"/>
        </w:rPr>
        <w:t xml:space="preserve"> (in relation to outlook,</w:t>
      </w:r>
      <w:r w:rsidR="009E6544">
        <w:rPr>
          <w:rFonts w:ascii="Times New Roman" w:hAnsi="Times New Roman"/>
          <w:sz w:val="24"/>
        </w:rPr>
        <w:t xml:space="preserve"> privacy</w:t>
      </w:r>
      <w:r w:rsidR="002F2BC8">
        <w:rPr>
          <w:rFonts w:ascii="Times New Roman" w:hAnsi="Times New Roman"/>
          <w:sz w:val="24"/>
        </w:rPr>
        <w:t xml:space="preserve">, quality of amenity space and living conditions (Hull </w:t>
      </w:r>
      <w:r w:rsidR="00366453">
        <w:rPr>
          <w:rFonts w:ascii="Times New Roman" w:hAnsi="Times New Roman"/>
          <w:sz w:val="24"/>
        </w:rPr>
        <w:t>6.61)</w:t>
      </w:r>
      <w:r w:rsidR="0043202F">
        <w:rPr>
          <w:rFonts w:ascii="Times New Roman" w:hAnsi="Times New Roman"/>
          <w:sz w:val="24"/>
        </w:rPr>
        <w:t xml:space="preserve">. This is not to say </w:t>
      </w:r>
      <w:r w:rsidR="00AD0E92">
        <w:rPr>
          <w:rFonts w:ascii="Times New Roman" w:hAnsi="Times New Roman"/>
          <w:sz w:val="24"/>
        </w:rPr>
        <w:t xml:space="preserve">that the residential amenity of those units is unacceptable in itself – but rather than when assessed for location, design, quality and specification there is a differentiation as between the affordable and the market units. </w:t>
      </w:r>
      <w:r w:rsidR="003142E7">
        <w:rPr>
          <w:rFonts w:ascii="Times New Roman" w:hAnsi="Times New Roman"/>
          <w:sz w:val="24"/>
        </w:rPr>
        <w:t>The fact that the Council will accept it in its capacity as housing authority is neither here nor there. This is a planning assessment as to the equivalence of the units</w:t>
      </w:r>
      <w:r w:rsidR="00C13F8B">
        <w:rPr>
          <w:rFonts w:ascii="Times New Roman" w:hAnsi="Times New Roman"/>
          <w:sz w:val="24"/>
        </w:rPr>
        <w:t xml:space="preserve"> in relation to </w:t>
      </w:r>
      <w:r w:rsidR="008565A1">
        <w:rPr>
          <w:rFonts w:ascii="Times New Roman" w:hAnsi="Times New Roman"/>
          <w:sz w:val="24"/>
        </w:rPr>
        <w:t>the</w:t>
      </w:r>
      <w:r w:rsidR="00C13F8B">
        <w:rPr>
          <w:rFonts w:ascii="Times New Roman" w:hAnsi="Times New Roman"/>
          <w:sz w:val="24"/>
        </w:rPr>
        <w:t xml:space="preserve"> broad range of matters covered by GAH5</w:t>
      </w:r>
      <w:r w:rsidR="003142E7">
        <w:rPr>
          <w:rFonts w:ascii="Times New Roman" w:hAnsi="Times New Roman"/>
          <w:sz w:val="24"/>
        </w:rPr>
        <w:t xml:space="preserve">. </w:t>
      </w:r>
    </w:p>
    <w:p w14:paraId="5540CF2E" w14:textId="489E85D6" w:rsidR="00EB5242" w:rsidRPr="000B1A98" w:rsidRDefault="00EB5242" w:rsidP="00EB5242">
      <w:pPr>
        <w:spacing w:line="360" w:lineRule="auto"/>
        <w:jc w:val="both"/>
        <w:rPr>
          <w:rFonts w:ascii="Times New Roman" w:hAnsi="Times New Roman"/>
          <w:sz w:val="24"/>
          <w:u w:val="single"/>
        </w:rPr>
      </w:pPr>
    </w:p>
    <w:p w14:paraId="048148E0" w14:textId="6D090F96" w:rsidR="00EB5242" w:rsidRPr="000B1A98" w:rsidRDefault="00C51C6F" w:rsidP="00EB5242">
      <w:pPr>
        <w:spacing w:line="360" w:lineRule="auto"/>
        <w:jc w:val="both"/>
        <w:rPr>
          <w:rFonts w:ascii="Times New Roman" w:hAnsi="Times New Roman"/>
          <w:sz w:val="24"/>
        </w:rPr>
      </w:pPr>
      <w:r w:rsidRPr="000B1A98">
        <w:rPr>
          <w:rFonts w:ascii="Times New Roman" w:hAnsi="Times New Roman"/>
          <w:b/>
          <w:bCs/>
          <w:sz w:val="24"/>
        </w:rPr>
        <w:t>A: Comprehensive Development</w:t>
      </w:r>
    </w:p>
    <w:p w14:paraId="248BC057" w14:textId="124CD3AF" w:rsidR="00694479" w:rsidRDefault="00757763" w:rsidP="00694479">
      <w:pPr>
        <w:pStyle w:val="ListParagraph"/>
        <w:numPr>
          <w:ilvl w:val="0"/>
          <w:numId w:val="1"/>
        </w:numPr>
        <w:spacing w:line="360" w:lineRule="auto"/>
        <w:jc w:val="both"/>
        <w:rPr>
          <w:rFonts w:ascii="Times New Roman" w:hAnsi="Times New Roman"/>
          <w:sz w:val="24"/>
        </w:rPr>
      </w:pPr>
      <w:r>
        <w:rPr>
          <w:rFonts w:ascii="Times New Roman" w:hAnsi="Times New Roman"/>
          <w:sz w:val="24"/>
        </w:rPr>
        <w:t>One</w:t>
      </w:r>
      <w:r w:rsidR="009F0175" w:rsidRPr="000B1A98">
        <w:rPr>
          <w:rFonts w:ascii="Times New Roman" w:hAnsi="Times New Roman"/>
          <w:sz w:val="24"/>
        </w:rPr>
        <w:t xml:space="preserve"> of the objectives of the </w:t>
      </w:r>
      <w:r w:rsidR="00950E4E" w:rsidRPr="000B1A98">
        <w:rPr>
          <w:rFonts w:ascii="Times New Roman" w:hAnsi="Times New Roman"/>
          <w:sz w:val="24"/>
        </w:rPr>
        <w:t>Brief</w:t>
      </w:r>
      <w:r w:rsidR="00421C64" w:rsidRPr="000B1A98">
        <w:rPr>
          <w:rFonts w:ascii="Times New Roman" w:hAnsi="Times New Roman"/>
          <w:sz w:val="24"/>
        </w:rPr>
        <w:t xml:space="preserve"> is to enable a comprehensive approach across the three allocated Owlthorpe sites. </w:t>
      </w:r>
      <w:r w:rsidR="00CC154B">
        <w:rPr>
          <w:rFonts w:ascii="Times New Roman" w:hAnsi="Times New Roman"/>
          <w:sz w:val="24"/>
        </w:rPr>
        <w:t xml:space="preserve">As noted above the appeal proposal is </w:t>
      </w:r>
      <w:r w:rsidR="00B80D37">
        <w:rPr>
          <w:rFonts w:ascii="Times New Roman" w:hAnsi="Times New Roman"/>
          <w:sz w:val="24"/>
        </w:rPr>
        <w:t xml:space="preserve">a planning application for development within its own red line not tied to any masterplan. It therefore relies entirely on the Brief to secure </w:t>
      </w:r>
      <w:r w:rsidR="00694479">
        <w:rPr>
          <w:rFonts w:ascii="Times New Roman" w:hAnsi="Times New Roman"/>
          <w:sz w:val="24"/>
        </w:rPr>
        <w:t>a comprehensive approach to the three sites.</w:t>
      </w:r>
    </w:p>
    <w:p w14:paraId="2861AB5B" w14:textId="77777777" w:rsidR="00015031" w:rsidRDefault="00015031" w:rsidP="00015031">
      <w:pPr>
        <w:pStyle w:val="ListParagraph"/>
        <w:spacing w:line="360" w:lineRule="auto"/>
        <w:jc w:val="both"/>
        <w:rPr>
          <w:rFonts w:ascii="Times New Roman" w:hAnsi="Times New Roman"/>
          <w:sz w:val="24"/>
        </w:rPr>
      </w:pPr>
    </w:p>
    <w:p w14:paraId="2C49B319" w14:textId="38A44EC9" w:rsidR="00694479" w:rsidRPr="00694479" w:rsidRDefault="00694479" w:rsidP="00694479">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It is apparent that there is a difference between the Appellant’s approach through Mr Bolton, which focuses on whether development of site </w:t>
      </w:r>
      <w:r w:rsidR="00654A26">
        <w:rPr>
          <w:rFonts w:ascii="Times New Roman" w:hAnsi="Times New Roman"/>
          <w:sz w:val="24"/>
        </w:rPr>
        <w:t>E</w:t>
      </w:r>
      <w:r>
        <w:rPr>
          <w:rFonts w:ascii="Times New Roman" w:hAnsi="Times New Roman"/>
          <w:sz w:val="24"/>
        </w:rPr>
        <w:t xml:space="preserve"> </w:t>
      </w:r>
      <w:r w:rsidR="00F174CB">
        <w:rPr>
          <w:rFonts w:ascii="Times New Roman" w:hAnsi="Times New Roman"/>
          <w:sz w:val="24"/>
        </w:rPr>
        <w:t>physically</w:t>
      </w:r>
      <w:r w:rsidR="00BF65E3">
        <w:rPr>
          <w:rFonts w:ascii="Times New Roman" w:hAnsi="Times New Roman"/>
          <w:sz w:val="24"/>
        </w:rPr>
        <w:t xml:space="preserve"> or practically inhibits the development of sites </w:t>
      </w:r>
      <w:r w:rsidR="00654A26">
        <w:rPr>
          <w:rFonts w:ascii="Times New Roman" w:hAnsi="Times New Roman"/>
          <w:sz w:val="24"/>
        </w:rPr>
        <w:t>C</w:t>
      </w:r>
      <w:r w:rsidR="00BF65E3">
        <w:rPr>
          <w:rFonts w:ascii="Times New Roman" w:hAnsi="Times New Roman"/>
          <w:sz w:val="24"/>
        </w:rPr>
        <w:t xml:space="preserve"> and </w:t>
      </w:r>
      <w:r w:rsidR="00654A26">
        <w:rPr>
          <w:rFonts w:ascii="Times New Roman" w:hAnsi="Times New Roman"/>
          <w:sz w:val="24"/>
        </w:rPr>
        <w:t>D</w:t>
      </w:r>
      <w:r w:rsidR="00BF65E3">
        <w:rPr>
          <w:rFonts w:ascii="Times New Roman" w:hAnsi="Times New Roman"/>
          <w:sz w:val="24"/>
        </w:rPr>
        <w:t xml:space="preserve">, and Mrs Hull who views the matter (as per the reason for refusal) </w:t>
      </w:r>
      <w:r w:rsidR="003E5BD6">
        <w:rPr>
          <w:rFonts w:ascii="Times New Roman" w:hAnsi="Times New Roman"/>
          <w:sz w:val="24"/>
        </w:rPr>
        <w:t>as going to the “proper planning of the wider area”. It is not a question of p</w:t>
      </w:r>
      <w:r w:rsidR="00D46DFA">
        <w:rPr>
          <w:rFonts w:ascii="Times New Roman" w:hAnsi="Times New Roman"/>
          <w:sz w:val="24"/>
        </w:rPr>
        <w:t>recedent</w:t>
      </w:r>
      <w:r w:rsidR="009B4584">
        <w:rPr>
          <w:rFonts w:ascii="Times New Roman" w:hAnsi="Times New Roman"/>
          <w:sz w:val="24"/>
        </w:rPr>
        <w:t xml:space="preserve"> per se</w:t>
      </w:r>
      <w:r w:rsidR="00D46DFA">
        <w:rPr>
          <w:rFonts w:ascii="Times New Roman" w:hAnsi="Times New Roman"/>
          <w:sz w:val="24"/>
        </w:rPr>
        <w:t xml:space="preserve">, but of diluting or re-writing the key design principles established through the Brief. Mrs Hull recognised that if the Inspector’s view is that the proposals fully accord with those design principles then the point does not arise. However, if those principles are breached, then site </w:t>
      </w:r>
      <w:r w:rsidR="005D3074">
        <w:rPr>
          <w:rFonts w:ascii="Times New Roman" w:hAnsi="Times New Roman"/>
          <w:sz w:val="24"/>
        </w:rPr>
        <w:t>E</w:t>
      </w:r>
      <w:r w:rsidR="00D46DFA">
        <w:rPr>
          <w:rFonts w:ascii="Times New Roman" w:hAnsi="Times New Roman"/>
          <w:sz w:val="24"/>
        </w:rPr>
        <w:t xml:space="preserve"> is granted </w:t>
      </w:r>
      <w:r w:rsidR="00AA4884">
        <w:rPr>
          <w:rFonts w:ascii="Times New Roman" w:hAnsi="Times New Roman"/>
          <w:sz w:val="24"/>
        </w:rPr>
        <w:t xml:space="preserve">a </w:t>
      </w:r>
      <w:r w:rsidR="00F174CB">
        <w:rPr>
          <w:rFonts w:ascii="Times New Roman" w:hAnsi="Times New Roman"/>
          <w:sz w:val="24"/>
        </w:rPr>
        <w:t>contrary</w:t>
      </w:r>
      <w:r w:rsidR="00AA4884">
        <w:rPr>
          <w:rFonts w:ascii="Times New Roman" w:hAnsi="Times New Roman"/>
          <w:sz w:val="24"/>
        </w:rPr>
        <w:t xml:space="preserve"> to the set of established design principles conceived to gove</w:t>
      </w:r>
      <w:r w:rsidR="009B4584">
        <w:rPr>
          <w:rFonts w:ascii="Times New Roman" w:hAnsi="Times New Roman"/>
          <w:sz w:val="24"/>
        </w:rPr>
        <w:t>r</w:t>
      </w:r>
      <w:r w:rsidR="00AA4884">
        <w:rPr>
          <w:rFonts w:ascii="Times New Roman" w:hAnsi="Times New Roman"/>
          <w:sz w:val="24"/>
        </w:rPr>
        <w:t xml:space="preserve">n the totality of the development, and so undermines those principles. </w:t>
      </w:r>
      <w:r w:rsidR="00C10DA7">
        <w:rPr>
          <w:rFonts w:ascii="Times New Roman" w:hAnsi="Times New Roman"/>
          <w:sz w:val="24"/>
        </w:rPr>
        <w:t>This is contrary to the</w:t>
      </w:r>
      <w:r w:rsidR="007D1931">
        <w:rPr>
          <w:rFonts w:ascii="Times New Roman" w:hAnsi="Times New Roman"/>
          <w:sz w:val="24"/>
        </w:rPr>
        <w:t xml:space="preserve"> objective of the Brief to “enable a co-ordinated and comprehensive approach the future uses of the site”</w:t>
      </w:r>
      <w:r w:rsidR="00ED322D">
        <w:rPr>
          <w:rStyle w:val="FootnoteReference"/>
          <w:rFonts w:ascii="Times New Roman" w:hAnsi="Times New Roman"/>
          <w:sz w:val="24"/>
        </w:rPr>
        <w:footnoteReference w:id="42"/>
      </w:r>
      <w:r w:rsidR="007D1931">
        <w:rPr>
          <w:rFonts w:ascii="Times New Roman" w:hAnsi="Times New Roman"/>
          <w:sz w:val="24"/>
        </w:rPr>
        <w:t xml:space="preserve">, and </w:t>
      </w:r>
      <w:r w:rsidR="00ED322D">
        <w:rPr>
          <w:rFonts w:ascii="Times New Roman" w:hAnsi="Times New Roman"/>
          <w:sz w:val="24"/>
        </w:rPr>
        <w:t>the requirement that the sites be considered as a whole to ensure comprehensive development</w:t>
      </w:r>
      <w:r w:rsidR="00ED322D">
        <w:rPr>
          <w:rStyle w:val="FootnoteReference"/>
          <w:rFonts w:ascii="Times New Roman" w:hAnsi="Times New Roman"/>
          <w:sz w:val="24"/>
        </w:rPr>
        <w:footnoteReference w:id="43"/>
      </w:r>
      <w:r w:rsidR="009B4584">
        <w:rPr>
          <w:rFonts w:ascii="Times New Roman" w:hAnsi="Times New Roman"/>
          <w:sz w:val="24"/>
        </w:rPr>
        <w:t xml:space="preserve">. For example, if the first development to come forward breaches the Green Environment </w:t>
      </w:r>
      <w:r w:rsidR="00F174CB">
        <w:rPr>
          <w:rFonts w:ascii="Times New Roman" w:hAnsi="Times New Roman"/>
          <w:sz w:val="24"/>
        </w:rPr>
        <w:t>principles</w:t>
      </w:r>
      <w:r w:rsidR="009B4584">
        <w:rPr>
          <w:rFonts w:ascii="Times New Roman" w:hAnsi="Times New Roman"/>
          <w:sz w:val="24"/>
        </w:rPr>
        <w:t xml:space="preserve"> any future proposal for </w:t>
      </w:r>
      <w:r w:rsidR="00996A1D">
        <w:rPr>
          <w:rFonts w:ascii="Times New Roman" w:hAnsi="Times New Roman"/>
          <w:sz w:val="24"/>
        </w:rPr>
        <w:t xml:space="preserve">sites C and D will be judged not only alongside the Brief but alongside the character and design principles of the development permitted on Site E. </w:t>
      </w:r>
    </w:p>
    <w:p w14:paraId="5D02AB4D" w14:textId="77777777" w:rsidR="00BF59B5" w:rsidRPr="000B1A98" w:rsidRDefault="00BF59B5" w:rsidP="00BF59B5">
      <w:pPr>
        <w:pStyle w:val="ListParagraph"/>
        <w:spacing w:line="360" w:lineRule="auto"/>
        <w:jc w:val="both"/>
        <w:rPr>
          <w:rFonts w:ascii="Times New Roman" w:hAnsi="Times New Roman"/>
          <w:sz w:val="24"/>
        </w:rPr>
      </w:pPr>
    </w:p>
    <w:p w14:paraId="0FA7CD7B" w14:textId="7A7453C4" w:rsidR="00C51C6F" w:rsidRPr="000B1A98" w:rsidRDefault="00985EB6" w:rsidP="00665626">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It is through the production, consultation on and adoption of a development brief that such an approach can be taken in a way that </w:t>
      </w:r>
      <w:r w:rsidR="00BF59B5" w:rsidRPr="000B1A98">
        <w:rPr>
          <w:rFonts w:ascii="Times New Roman" w:hAnsi="Times New Roman"/>
          <w:sz w:val="24"/>
        </w:rPr>
        <w:t xml:space="preserve">enables individual planning applications to come forward. Central to the effectiveness of this mechanism is that each application that comes forward, and especially in the case of the first application to come forward, </w:t>
      </w:r>
      <w:r w:rsidR="006A2A65" w:rsidRPr="000B1A98">
        <w:rPr>
          <w:rFonts w:ascii="Times New Roman" w:hAnsi="Times New Roman"/>
          <w:sz w:val="24"/>
        </w:rPr>
        <w:t xml:space="preserve">complies with the principles established within and through the Brief. Otherwise, the </w:t>
      </w:r>
      <w:r w:rsidR="006A2A65" w:rsidRPr="000B1A98">
        <w:rPr>
          <w:rFonts w:ascii="Times New Roman" w:hAnsi="Times New Roman"/>
          <w:sz w:val="24"/>
        </w:rPr>
        <w:lastRenderedPageBreak/>
        <w:t xml:space="preserve">grant of permission will conflict with and practically re-write and re-define those principles. </w:t>
      </w:r>
    </w:p>
    <w:p w14:paraId="345FD653" w14:textId="77777777" w:rsidR="006A2A65" w:rsidRPr="000B1A98" w:rsidRDefault="006A2A65" w:rsidP="006A2A65">
      <w:pPr>
        <w:pStyle w:val="ListParagraph"/>
        <w:rPr>
          <w:rFonts w:ascii="Times New Roman" w:hAnsi="Times New Roman"/>
          <w:sz w:val="24"/>
        </w:rPr>
      </w:pPr>
    </w:p>
    <w:p w14:paraId="5BBE7372" w14:textId="392D08ED" w:rsidR="006A2A65" w:rsidRPr="000B1A98" w:rsidRDefault="006A2A65" w:rsidP="00665626">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In the Council’s view, that is the case </w:t>
      </w:r>
      <w:r w:rsidR="000254F0" w:rsidRPr="000B1A98">
        <w:rPr>
          <w:rFonts w:ascii="Times New Roman" w:hAnsi="Times New Roman"/>
          <w:sz w:val="24"/>
        </w:rPr>
        <w:t>in the event that the appeal proposals are permitted. The Brief provides careful guidance on the green infrastructure balance across the development of the sites</w:t>
      </w:r>
      <w:r w:rsidR="006F15FC" w:rsidRPr="000B1A98">
        <w:rPr>
          <w:rFonts w:ascii="Times New Roman" w:hAnsi="Times New Roman"/>
          <w:sz w:val="24"/>
        </w:rPr>
        <w:t xml:space="preserve">, and as to density, and the sensitive treatment of the edges and interfaces with landscape setting. It is not a case of </w:t>
      </w:r>
      <w:r w:rsidR="00F0071F" w:rsidRPr="000B1A98">
        <w:rPr>
          <w:rFonts w:ascii="Times New Roman" w:hAnsi="Times New Roman"/>
          <w:sz w:val="24"/>
        </w:rPr>
        <w:t xml:space="preserve">having to show that no one would develop sites C and D if the appeal scheme is permitted, but rather of recognising that the </w:t>
      </w:r>
      <w:r w:rsidR="008B1F5F" w:rsidRPr="000B1A98">
        <w:rPr>
          <w:rFonts w:ascii="Times New Roman" w:hAnsi="Times New Roman"/>
          <w:sz w:val="24"/>
        </w:rPr>
        <w:t xml:space="preserve">control of those developments which should be found in the Brief will be undermined, and so the proper and comprehensive planning of the sites as a whole, </w:t>
      </w:r>
      <w:r w:rsidR="00AC7BA2" w:rsidRPr="000B1A98">
        <w:rPr>
          <w:rFonts w:ascii="Times New Roman" w:hAnsi="Times New Roman"/>
          <w:sz w:val="24"/>
        </w:rPr>
        <w:t xml:space="preserve">comprehensive allocation is undermined. </w:t>
      </w:r>
    </w:p>
    <w:p w14:paraId="51075B7A" w14:textId="77777777" w:rsidR="00AC7BA2" w:rsidRPr="000B1A98" w:rsidRDefault="00AC7BA2" w:rsidP="00AC7BA2">
      <w:pPr>
        <w:pStyle w:val="ListParagraph"/>
        <w:rPr>
          <w:rFonts w:ascii="Times New Roman" w:hAnsi="Times New Roman"/>
          <w:sz w:val="24"/>
        </w:rPr>
      </w:pPr>
    </w:p>
    <w:p w14:paraId="56CEA7C7" w14:textId="05CDB61E" w:rsidR="00AC7BA2" w:rsidRPr="000B1A98" w:rsidRDefault="000A2927" w:rsidP="00AC7BA2">
      <w:pPr>
        <w:spacing w:line="360" w:lineRule="auto"/>
        <w:jc w:val="both"/>
        <w:rPr>
          <w:rFonts w:ascii="Times New Roman" w:hAnsi="Times New Roman"/>
          <w:sz w:val="24"/>
        </w:rPr>
      </w:pPr>
      <w:r>
        <w:rPr>
          <w:rFonts w:ascii="Times New Roman" w:hAnsi="Times New Roman"/>
          <w:b/>
          <w:bCs/>
          <w:sz w:val="24"/>
        </w:rPr>
        <w:t>Decis</w:t>
      </w:r>
      <w:r w:rsidR="00466059">
        <w:rPr>
          <w:rFonts w:ascii="Times New Roman" w:hAnsi="Times New Roman"/>
          <w:b/>
          <w:bCs/>
          <w:sz w:val="24"/>
        </w:rPr>
        <w:t>io</w:t>
      </w:r>
      <w:r>
        <w:rPr>
          <w:rFonts w:ascii="Times New Roman" w:hAnsi="Times New Roman"/>
          <w:b/>
          <w:bCs/>
          <w:sz w:val="24"/>
        </w:rPr>
        <w:t xml:space="preserve">n-making approach </w:t>
      </w:r>
      <w:r w:rsidR="00466059">
        <w:rPr>
          <w:rFonts w:ascii="Times New Roman" w:hAnsi="Times New Roman"/>
          <w:b/>
          <w:bCs/>
          <w:sz w:val="24"/>
        </w:rPr>
        <w:t xml:space="preserve">and </w:t>
      </w:r>
      <w:r w:rsidR="00AC7BA2" w:rsidRPr="000B1A98">
        <w:rPr>
          <w:rFonts w:ascii="Times New Roman" w:hAnsi="Times New Roman"/>
          <w:b/>
          <w:bCs/>
          <w:sz w:val="24"/>
        </w:rPr>
        <w:t>Planning Balance</w:t>
      </w:r>
    </w:p>
    <w:p w14:paraId="0E0A189E" w14:textId="58451732" w:rsidR="00E90C7D" w:rsidRDefault="00466059"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There is common ground as to the proper approach to paragraph 11 of the Framewor</w:t>
      </w:r>
      <w:r w:rsidR="00E7113D">
        <w:rPr>
          <w:rFonts w:ascii="Times New Roman" w:hAnsi="Times New Roman"/>
          <w:sz w:val="24"/>
        </w:rPr>
        <w:t>k</w:t>
      </w:r>
      <w:r>
        <w:rPr>
          <w:rFonts w:ascii="Times New Roman" w:hAnsi="Times New Roman"/>
          <w:sz w:val="24"/>
        </w:rPr>
        <w:t xml:space="preserve">. Both parties consider the development plan broadly up to date. </w:t>
      </w:r>
    </w:p>
    <w:p w14:paraId="6D97C01D" w14:textId="77777777" w:rsidR="00E7113D" w:rsidRDefault="00E7113D" w:rsidP="00E7113D">
      <w:pPr>
        <w:pStyle w:val="ListParagraph"/>
        <w:spacing w:line="360" w:lineRule="auto"/>
        <w:jc w:val="both"/>
        <w:rPr>
          <w:rFonts w:ascii="Times New Roman" w:hAnsi="Times New Roman"/>
          <w:sz w:val="24"/>
        </w:rPr>
      </w:pPr>
    </w:p>
    <w:p w14:paraId="1DD40BC7" w14:textId="61645274" w:rsidR="003C0DD5" w:rsidRDefault="00E90C7D"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There is no challenge to the Council’s </w:t>
      </w:r>
      <w:r w:rsidR="00E7113D">
        <w:rPr>
          <w:rFonts w:ascii="Times New Roman" w:hAnsi="Times New Roman"/>
          <w:sz w:val="24"/>
        </w:rPr>
        <w:t xml:space="preserve">housing land supply figure of 5.4 years. Accordingly, the appeal falls to be determined under </w:t>
      </w:r>
      <w:r w:rsidR="00B54C6A">
        <w:rPr>
          <w:rFonts w:ascii="Times New Roman" w:hAnsi="Times New Roman"/>
          <w:sz w:val="24"/>
        </w:rPr>
        <w:t xml:space="preserve">section 38(6) PCPA 2004. </w:t>
      </w:r>
      <w:r w:rsidR="00A14C85" w:rsidRPr="000B1A98">
        <w:rPr>
          <w:rFonts w:ascii="Times New Roman" w:hAnsi="Times New Roman"/>
          <w:sz w:val="24"/>
        </w:rPr>
        <w:t xml:space="preserve">Planning </w:t>
      </w:r>
      <w:r w:rsidR="00F322A6" w:rsidRPr="000B1A98">
        <w:rPr>
          <w:rFonts w:ascii="Times New Roman" w:hAnsi="Times New Roman"/>
          <w:sz w:val="24"/>
        </w:rPr>
        <w:t>applications must be determined in accordance with the development plan unless material considerations indicate otherwise. The NPPF does not alter the statutory presumption.</w:t>
      </w:r>
      <w:r w:rsidR="00EA568E" w:rsidRPr="000B1A98">
        <w:rPr>
          <w:rFonts w:ascii="Times New Roman" w:hAnsi="Times New Roman"/>
          <w:sz w:val="24"/>
        </w:rPr>
        <w:t xml:space="preserve"> The Council concludes that the development does not accord with the plan as a result of each and all of the points raised in the reason for refusal</w:t>
      </w:r>
      <w:r w:rsidR="008B01AA">
        <w:rPr>
          <w:rFonts w:ascii="Times New Roman" w:hAnsi="Times New Roman"/>
          <w:sz w:val="24"/>
        </w:rPr>
        <w:t>.</w:t>
      </w:r>
    </w:p>
    <w:p w14:paraId="2CB92C42" w14:textId="77777777" w:rsidR="0090050D" w:rsidRPr="0090050D" w:rsidRDefault="0090050D" w:rsidP="0090050D">
      <w:pPr>
        <w:pStyle w:val="ListParagraph"/>
        <w:rPr>
          <w:rFonts w:ascii="Times New Roman" w:hAnsi="Times New Roman"/>
          <w:sz w:val="24"/>
        </w:rPr>
      </w:pPr>
    </w:p>
    <w:p w14:paraId="2494E392" w14:textId="77777777" w:rsidR="00F176DB" w:rsidRDefault="009E6A9E"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It </w:t>
      </w:r>
      <w:r w:rsidR="001808D9">
        <w:rPr>
          <w:rFonts w:ascii="Times New Roman" w:hAnsi="Times New Roman"/>
          <w:sz w:val="24"/>
        </w:rPr>
        <w:t>is</w:t>
      </w:r>
      <w:r>
        <w:rPr>
          <w:rFonts w:ascii="Times New Roman" w:hAnsi="Times New Roman"/>
          <w:sz w:val="24"/>
        </w:rPr>
        <w:t xml:space="preserve"> also common ground that the starting point for the consideration of this appeal is </w:t>
      </w:r>
      <w:r w:rsidR="001808D9">
        <w:rPr>
          <w:rFonts w:ascii="Times New Roman" w:hAnsi="Times New Roman"/>
          <w:sz w:val="24"/>
        </w:rPr>
        <w:t xml:space="preserve">that this is an allocated site for housing, and the principle of residential development is established. </w:t>
      </w:r>
      <w:r w:rsidR="002B7D8A">
        <w:rPr>
          <w:rFonts w:ascii="Times New Roman" w:hAnsi="Times New Roman"/>
          <w:sz w:val="24"/>
        </w:rPr>
        <w:t>This is of significance. The Council’s concerns</w:t>
      </w:r>
      <w:r w:rsidR="00331B87">
        <w:rPr>
          <w:rFonts w:ascii="Times New Roman" w:hAnsi="Times New Roman"/>
          <w:sz w:val="24"/>
        </w:rPr>
        <w:t xml:space="preserve"> relate to the form not the principle of development. Of course, if the Inspector considers the</w:t>
      </w:r>
      <w:r w:rsidR="001A40B3">
        <w:rPr>
          <w:rFonts w:ascii="Times New Roman" w:hAnsi="Times New Roman"/>
          <w:sz w:val="24"/>
        </w:rPr>
        <w:t xml:space="preserve"> form complies with the Brief and the development plan then permission will be granted. If, however, there is non-compliance then attention shifts to the justification </w:t>
      </w:r>
      <w:r w:rsidR="00971D8C">
        <w:rPr>
          <w:rFonts w:ascii="Times New Roman" w:hAnsi="Times New Roman"/>
          <w:sz w:val="24"/>
        </w:rPr>
        <w:t xml:space="preserve">that outweighs the breach of the development plan and the Brief. </w:t>
      </w:r>
    </w:p>
    <w:p w14:paraId="7EEB0E95" w14:textId="77777777" w:rsidR="00F176DB" w:rsidRPr="00F176DB" w:rsidRDefault="00F176DB" w:rsidP="00F176DB">
      <w:pPr>
        <w:pStyle w:val="ListParagraph"/>
        <w:rPr>
          <w:rFonts w:ascii="Times New Roman" w:hAnsi="Times New Roman"/>
          <w:sz w:val="24"/>
        </w:rPr>
      </w:pPr>
    </w:p>
    <w:p w14:paraId="7A395E75" w14:textId="77777777" w:rsidR="00FD1360" w:rsidRDefault="00971D8C"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In general terms the delivery of housing </w:t>
      </w:r>
      <w:r w:rsidR="00712222">
        <w:rPr>
          <w:rFonts w:ascii="Times New Roman" w:hAnsi="Times New Roman"/>
          <w:sz w:val="24"/>
        </w:rPr>
        <w:t xml:space="preserve">and the site’s contribution </w:t>
      </w:r>
      <w:r w:rsidR="00366CEF">
        <w:rPr>
          <w:rFonts w:ascii="Times New Roman" w:hAnsi="Times New Roman"/>
          <w:sz w:val="24"/>
        </w:rPr>
        <w:t xml:space="preserve">to the housing supply should be given significant weight (as agreed in the SOCG at 7.11). But it </w:t>
      </w:r>
      <w:r w:rsidR="003F1D39">
        <w:rPr>
          <w:rFonts w:ascii="Times New Roman" w:hAnsi="Times New Roman"/>
          <w:sz w:val="24"/>
        </w:rPr>
        <w:t>does not</w:t>
      </w:r>
      <w:r w:rsidR="00366CEF">
        <w:rPr>
          <w:rFonts w:ascii="Times New Roman" w:hAnsi="Times New Roman"/>
          <w:sz w:val="24"/>
        </w:rPr>
        <w:t xml:space="preserve"> justify the </w:t>
      </w:r>
      <w:r w:rsidR="00D915B3">
        <w:rPr>
          <w:rFonts w:ascii="Times New Roman" w:hAnsi="Times New Roman"/>
          <w:sz w:val="24"/>
        </w:rPr>
        <w:t>inappropriate form</w:t>
      </w:r>
      <w:r w:rsidR="00BB17EB">
        <w:rPr>
          <w:rFonts w:ascii="Times New Roman" w:hAnsi="Times New Roman"/>
          <w:sz w:val="24"/>
        </w:rPr>
        <w:t>, layout and character</w:t>
      </w:r>
      <w:r w:rsidR="00D915B3">
        <w:rPr>
          <w:rFonts w:ascii="Times New Roman" w:hAnsi="Times New Roman"/>
          <w:sz w:val="24"/>
        </w:rPr>
        <w:t xml:space="preserve"> of </w:t>
      </w:r>
      <w:r w:rsidR="00BB17EB">
        <w:rPr>
          <w:rFonts w:ascii="Times New Roman" w:hAnsi="Times New Roman"/>
          <w:sz w:val="24"/>
        </w:rPr>
        <w:t>the</w:t>
      </w:r>
      <w:r w:rsidR="00D915B3">
        <w:rPr>
          <w:rFonts w:ascii="Times New Roman" w:hAnsi="Times New Roman"/>
          <w:sz w:val="24"/>
        </w:rPr>
        <w:t xml:space="preserve"> development. No case is </w:t>
      </w:r>
      <w:r w:rsidR="00D915B3">
        <w:rPr>
          <w:rFonts w:ascii="Times New Roman" w:hAnsi="Times New Roman"/>
          <w:sz w:val="24"/>
        </w:rPr>
        <w:lastRenderedPageBreak/>
        <w:t xml:space="preserve">presented that the </w:t>
      </w:r>
      <w:r w:rsidR="003D5D4B">
        <w:rPr>
          <w:rFonts w:ascii="Times New Roman" w:hAnsi="Times New Roman"/>
          <w:sz w:val="24"/>
        </w:rPr>
        <w:t xml:space="preserve">general </w:t>
      </w:r>
      <w:r w:rsidR="00D915B3">
        <w:rPr>
          <w:rFonts w:ascii="Times New Roman" w:hAnsi="Times New Roman"/>
          <w:sz w:val="24"/>
        </w:rPr>
        <w:t xml:space="preserve">housing need is urgent. Mr Bolton agreed that not only can the Council demonstrate a 5 year supply of housing </w:t>
      </w:r>
      <w:r w:rsidR="001B1016">
        <w:rPr>
          <w:rFonts w:ascii="Times New Roman" w:hAnsi="Times New Roman"/>
          <w:sz w:val="24"/>
        </w:rPr>
        <w:t>land, but that its housing position in terms of both forward-looking supply (5 yr HLS) and backward-looking supply (The Housing Delivery Test performance is 112%</w:t>
      </w:r>
      <w:r w:rsidR="0000505E">
        <w:rPr>
          <w:rStyle w:val="FootnoteReference"/>
          <w:rFonts w:ascii="Times New Roman" w:hAnsi="Times New Roman"/>
          <w:sz w:val="24"/>
        </w:rPr>
        <w:footnoteReference w:id="44"/>
      </w:r>
      <w:r w:rsidR="001B1016">
        <w:rPr>
          <w:rFonts w:ascii="Times New Roman" w:hAnsi="Times New Roman"/>
          <w:sz w:val="24"/>
        </w:rPr>
        <w:t xml:space="preserve"> over the past three years) is meeting every expectation of national policy. Last year 3,</w:t>
      </w:r>
      <w:r w:rsidR="00434D60">
        <w:rPr>
          <w:rFonts w:ascii="Times New Roman" w:hAnsi="Times New Roman"/>
          <w:sz w:val="24"/>
        </w:rPr>
        <w:t>101</w:t>
      </w:r>
      <w:r w:rsidR="001B1016">
        <w:rPr>
          <w:rFonts w:ascii="Times New Roman" w:hAnsi="Times New Roman"/>
          <w:sz w:val="24"/>
        </w:rPr>
        <w:t xml:space="preserve"> units were delivered</w:t>
      </w:r>
      <w:r w:rsidR="00434D60">
        <w:rPr>
          <w:rFonts w:ascii="Times New Roman" w:hAnsi="Times New Roman"/>
          <w:sz w:val="24"/>
        </w:rPr>
        <w:t xml:space="preserve"> against a requirement including the buffer o</w:t>
      </w:r>
      <w:r w:rsidR="00653465">
        <w:rPr>
          <w:rFonts w:ascii="Times New Roman" w:hAnsi="Times New Roman"/>
          <w:sz w:val="24"/>
        </w:rPr>
        <w:t>f 2,238</w:t>
      </w:r>
      <w:r w:rsidR="0020486E">
        <w:rPr>
          <w:rFonts w:ascii="Times New Roman" w:hAnsi="Times New Roman"/>
          <w:sz w:val="24"/>
        </w:rPr>
        <w:t xml:space="preserve"> – boosting the supply of housing</w:t>
      </w:r>
      <w:r w:rsidR="001B1016">
        <w:rPr>
          <w:rFonts w:ascii="Times New Roman" w:hAnsi="Times New Roman"/>
          <w:sz w:val="24"/>
        </w:rPr>
        <w:t xml:space="preserve">. </w:t>
      </w:r>
    </w:p>
    <w:p w14:paraId="05E99A7B" w14:textId="77777777" w:rsidR="00FD1360" w:rsidRPr="00FD1360" w:rsidRDefault="00FD1360" w:rsidP="00FD1360">
      <w:pPr>
        <w:pStyle w:val="ListParagraph"/>
        <w:rPr>
          <w:rFonts w:ascii="Times New Roman" w:hAnsi="Times New Roman"/>
          <w:sz w:val="24"/>
        </w:rPr>
      </w:pPr>
    </w:p>
    <w:p w14:paraId="60BC23E0" w14:textId="5027E29A" w:rsidR="0090050D" w:rsidRDefault="00093D7A"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Mr Bolton raises</w:t>
      </w:r>
      <w:r w:rsidR="00D04610">
        <w:rPr>
          <w:rFonts w:ascii="Times New Roman" w:hAnsi="Times New Roman"/>
          <w:sz w:val="24"/>
        </w:rPr>
        <w:t xml:space="preserve"> some qualitative issues as to house type, but agrees that the Framework leaves such issues to planning policy and the market</w:t>
      </w:r>
      <w:r w:rsidR="00D04610">
        <w:rPr>
          <w:rStyle w:val="FootnoteReference"/>
          <w:rFonts w:ascii="Times New Roman" w:hAnsi="Times New Roman"/>
          <w:sz w:val="24"/>
        </w:rPr>
        <w:footnoteReference w:id="45"/>
      </w:r>
      <w:r w:rsidR="00E6079D">
        <w:rPr>
          <w:rFonts w:ascii="Times New Roman" w:hAnsi="Times New Roman"/>
          <w:sz w:val="24"/>
        </w:rPr>
        <w:t>. Mrs Hull has presented evidence as to the particular housing position in Owlthorpe, which</w:t>
      </w:r>
      <w:r w:rsidR="00B73C9B">
        <w:rPr>
          <w:rFonts w:ascii="Times New Roman" w:hAnsi="Times New Roman"/>
          <w:sz w:val="24"/>
        </w:rPr>
        <w:t xml:space="preserve">, as to the existing housing stock, already has a high proportion of detached and family housing, and </w:t>
      </w:r>
      <w:r w:rsidR="0061094A">
        <w:rPr>
          <w:rFonts w:ascii="Times New Roman" w:hAnsi="Times New Roman"/>
          <w:sz w:val="24"/>
        </w:rPr>
        <w:t xml:space="preserve">a high degree of </w:t>
      </w:r>
      <w:r w:rsidR="00916864">
        <w:rPr>
          <w:rFonts w:ascii="Times New Roman" w:hAnsi="Times New Roman"/>
          <w:sz w:val="24"/>
        </w:rPr>
        <w:t>under-</w:t>
      </w:r>
      <w:r w:rsidR="0061094A">
        <w:rPr>
          <w:rFonts w:ascii="Times New Roman" w:hAnsi="Times New Roman"/>
          <w:sz w:val="24"/>
        </w:rPr>
        <w:t>occupa</w:t>
      </w:r>
      <w:r w:rsidR="00916864">
        <w:rPr>
          <w:rFonts w:ascii="Times New Roman" w:hAnsi="Times New Roman"/>
          <w:sz w:val="24"/>
        </w:rPr>
        <w:t>tion</w:t>
      </w:r>
      <w:r w:rsidR="0061094A">
        <w:rPr>
          <w:rFonts w:ascii="Times New Roman" w:hAnsi="Times New Roman"/>
          <w:sz w:val="24"/>
        </w:rPr>
        <w:t xml:space="preserve">. </w:t>
      </w:r>
      <w:r w:rsidR="00653465">
        <w:rPr>
          <w:rFonts w:ascii="Times New Roman" w:hAnsi="Times New Roman"/>
          <w:sz w:val="24"/>
        </w:rPr>
        <w:t xml:space="preserve">However, for reasons given above, it is agreed that the site should provide a </w:t>
      </w:r>
      <w:r w:rsidR="00F174CB">
        <w:rPr>
          <w:rFonts w:ascii="Times New Roman" w:hAnsi="Times New Roman"/>
          <w:sz w:val="24"/>
        </w:rPr>
        <w:t>dominance</w:t>
      </w:r>
      <w:r w:rsidR="00653465">
        <w:rPr>
          <w:rFonts w:ascii="Times New Roman" w:hAnsi="Times New Roman"/>
          <w:sz w:val="24"/>
        </w:rPr>
        <w:t xml:space="preserve"> of family housing, </w:t>
      </w:r>
      <w:r w:rsidR="00516991">
        <w:rPr>
          <w:rFonts w:ascii="Times New Roman" w:hAnsi="Times New Roman"/>
          <w:sz w:val="24"/>
        </w:rPr>
        <w:t xml:space="preserve">the proposed mix is appropriate and </w:t>
      </w:r>
      <w:r w:rsidR="0000226D">
        <w:rPr>
          <w:rFonts w:ascii="Times New Roman" w:hAnsi="Times New Roman"/>
          <w:sz w:val="24"/>
        </w:rPr>
        <w:t>helps address a specific need</w:t>
      </w:r>
      <w:r w:rsidR="00B85771">
        <w:rPr>
          <w:rStyle w:val="FootnoteReference"/>
          <w:rFonts w:ascii="Times New Roman" w:hAnsi="Times New Roman"/>
          <w:sz w:val="24"/>
        </w:rPr>
        <w:footnoteReference w:id="46"/>
      </w:r>
      <w:r w:rsidR="0000226D">
        <w:rPr>
          <w:rFonts w:ascii="Times New Roman" w:hAnsi="Times New Roman"/>
          <w:sz w:val="24"/>
        </w:rPr>
        <w:t xml:space="preserve">. </w:t>
      </w:r>
      <w:r w:rsidR="007369BA">
        <w:rPr>
          <w:rFonts w:ascii="Times New Roman" w:hAnsi="Times New Roman"/>
          <w:sz w:val="24"/>
        </w:rPr>
        <w:t xml:space="preserve">The housing contribution is a benefit of the development of the site, </w:t>
      </w:r>
      <w:r w:rsidR="00653465">
        <w:rPr>
          <w:rFonts w:ascii="Times New Roman" w:hAnsi="Times New Roman"/>
          <w:sz w:val="24"/>
        </w:rPr>
        <w:t>but the Council does not consider the form</w:t>
      </w:r>
      <w:r w:rsidR="007369BA">
        <w:rPr>
          <w:rFonts w:ascii="Times New Roman" w:hAnsi="Times New Roman"/>
          <w:sz w:val="24"/>
        </w:rPr>
        <w:t>/character</w:t>
      </w:r>
      <w:r w:rsidR="002E02F8">
        <w:rPr>
          <w:rFonts w:ascii="Times New Roman" w:hAnsi="Times New Roman"/>
          <w:sz w:val="24"/>
        </w:rPr>
        <w:t xml:space="preserve">, density and treatment </w:t>
      </w:r>
      <w:r w:rsidR="00F174CB">
        <w:rPr>
          <w:rFonts w:ascii="Times New Roman" w:hAnsi="Times New Roman"/>
          <w:sz w:val="24"/>
        </w:rPr>
        <w:t>of</w:t>
      </w:r>
      <w:r w:rsidR="002E02F8">
        <w:rPr>
          <w:rFonts w:ascii="Times New Roman" w:hAnsi="Times New Roman"/>
          <w:sz w:val="24"/>
        </w:rPr>
        <w:t xml:space="preserve"> the affordable units acceptable. </w:t>
      </w:r>
      <w:r w:rsidR="00620CA1">
        <w:rPr>
          <w:rFonts w:ascii="Times New Roman" w:hAnsi="Times New Roman"/>
          <w:sz w:val="24"/>
        </w:rPr>
        <w:t xml:space="preserve">As to affordable housing, Mrs Stephens acknowledges there is a </w:t>
      </w:r>
      <w:r w:rsidR="00410417">
        <w:rPr>
          <w:rFonts w:ascii="Times New Roman" w:hAnsi="Times New Roman"/>
          <w:sz w:val="24"/>
        </w:rPr>
        <w:t xml:space="preserve">real </w:t>
      </w:r>
      <w:r w:rsidR="00620CA1">
        <w:rPr>
          <w:rFonts w:ascii="Times New Roman" w:hAnsi="Times New Roman"/>
          <w:sz w:val="24"/>
        </w:rPr>
        <w:t xml:space="preserve">need for affordable housing, </w:t>
      </w:r>
      <w:r w:rsidR="007B765C">
        <w:rPr>
          <w:rFonts w:ascii="Times New Roman" w:hAnsi="Times New Roman"/>
          <w:sz w:val="24"/>
        </w:rPr>
        <w:t>and in this context an additional 15 units is welcome and beneficial</w:t>
      </w:r>
      <w:r w:rsidR="00BE2C92">
        <w:rPr>
          <w:rFonts w:ascii="Times New Roman" w:hAnsi="Times New Roman"/>
          <w:sz w:val="24"/>
        </w:rPr>
        <w:t>. New development is not the only source of increasing the affordable housing stock – Mrs Stephens</w:t>
      </w:r>
      <w:r w:rsidR="00620CA1">
        <w:rPr>
          <w:rFonts w:ascii="Times New Roman" w:hAnsi="Times New Roman"/>
          <w:sz w:val="24"/>
        </w:rPr>
        <w:t xml:space="preserve"> the efforts the Council is making outside of the </w:t>
      </w:r>
      <w:r w:rsidR="00A21EB9">
        <w:rPr>
          <w:rFonts w:ascii="Times New Roman" w:hAnsi="Times New Roman"/>
          <w:sz w:val="24"/>
        </w:rPr>
        <w:t>development control process which provides a considerable source of supply over the next five years</w:t>
      </w:r>
      <w:r w:rsidR="00BE2C92">
        <w:rPr>
          <w:rFonts w:ascii="Times New Roman" w:hAnsi="Times New Roman"/>
          <w:sz w:val="24"/>
        </w:rPr>
        <w:t xml:space="preserve"> (8.5% of the supply</w:t>
      </w:r>
      <w:r w:rsidR="005C33F8">
        <w:rPr>
          <w:rStyle w:val="FootnoteReference"/>
          <w:rFonts w:ascii="Times New Roman" w:hAnsi="Times New Roman"/>
          <w:sz w:val="24"/>
        </w:rPr>
        <w:footnoteReference w:id="47"/>
      </w:r>
      <w:r w:rsidR="00BE2C92">
        <w:rPr>
          <w:rFonts w:ascii="Times New Roman" w:hAnsi="Times New Roman"/>
          <w:sz w:val="24"/>
        </w:rPr>
        <w:t>)</w:t>
      </w:r>
      <w:r w:rsidR="00A21EB9">
        <w:rPr>
          <w:rFonts w:ascii="Times New Roman" w:hAnsi="Times New Roman"/>
          <w:sz w:val="24"/>
        </w:rPr>
        <w:t xml:space="preserve">. </w:t>
      </w:r>
    </w:p>
    <w:p w14:paraId="26879B11" w14:textId="77777777" w:rsidR="00CB1100" w:rsidRDefault="00CB1100" w:rsidP="00CB1100">
      <w:pPr>
        <w:pStyle w:val="ListParagraph"/>
        <w:spacing w:line="360" w:lineRule="auto"/>
        <w:jc w:val="both"/>
        <w:rPr>
          <w:rFonts w:ascii="Times New Roman" w:hAnsi="Times New Roman"/>
          <w:sz w:val="24"/>
        </w:rPr>
      </w:pPr>
    </w:p>
    <w:p w14:paraId="0553FDBA" w14:textId="5945A3F8" w:rsidR="002A1678" w:rsidRDefault="002A1678" w:rsidP="00665626">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These points, however, largely go to the principle of development. </w:t>
      </w:r>
      <w:r w:rsidR="00CB1100">
        <w:rPr>
          <w:rFonts w:ascii="Times New Roman" w:hAnsi="Times New Roman"/>
          <w:sz w:val="24"/>
        </w:rPr>
        <w:t>They do not justify breaches of the development plan or the Brief, or of national policy. As set out in Opening:</w:t>
      </w:r>
    </w:p>
    <w:p w14:paraId="38B08158" w14:textId="3B54A02F" w:rsidR="00C00DE2" w:rsidRDefault="00CB1100" w:rsidP="00CB1100">
      <w:pPr>
        <w:spacing w:line="360" w:lineRule="auto"/>
        <w:ind w:left="1080"/>
        <w:jc w:val="both"/>
        <w:rPr>
          <w:rFonts w:ascii="Times New Roman" w:hAnsi="Times New Roman"/>
          <w:sz w:val="24"/>
        </w:rPr>
      </w:pPr>
      <w:r>
        <w:rPr>
          <w:rFonts w:ascii="Times New Roman" w:hAnsi="Times New Roman"/>
          <w:sz w:val="24"/>
        </w:rPr>
        <w:t>“</w:t>
      </w:r>
      <w:r w:rsidR="00C00DE2" w:rsidRPr="00CB1100">
        <w:rPr>
          <w:rFonts w:ascii="Times New Roman" w:hAnsi="Times New Roman"/>
          <w:sz w:val="24"/>
        </w:rPr>
        <w:t>The Council, and Mrs Hull, recognise</w:t>
      </w:r>
      <w:r w:rsidR="00BD41A9" w:rsidRPr="00CB1100">
        <w:rPr>
          <w:rFonts w:ascii="Times New Roman" w:hAnsi="Times New Roman"/>
          <w:sz w:val="24"/>
        </w:rPr>
        <w:t xml:space="preserve"> that there are benefits from the delivery of 72 units, of which </w:t>
      </w:r>
      <w:r w:rsidR="002A7E6A" w:rsidRPr="00CB1100">
        <w:rPr>
          <w:rFonts w:ascii="Times New Roman" w:hAnsi="Times New Roman"/>
          <w:sz w:val="24"/>
        </w:rPr>
        <w:t>15 are to be shared ownership.</w:t>
      </w:r>
      <w:r w:rsidR="00F12FC2" w:rsidRPr="00CB1100">
        <w:rPr>
          <w:rFonts w:ascii="Times New Roman" w:hAnsi="Times New Roman"/>
          <w:sz w:val="24"/>
        </w:rPr>
        <w:t xml:space="preserve"> The</w:t>
      </w:r>
      <w:r w:rsidR="002722B2" w:rsidRPr="00CB1100">
        <w:rPr>
          <w:rFonts w:ascii="Times New Roman" w:hAnsi="Times New Roman"/>
          <w:sz w:val="24"/>
        </w:rPr>
        <w:t xml:space="preserve"> benefits of housing on the site goes to the reason why the site was allocated, and to the principle of its development. However, it does not – and cannot – justify </w:t>
      </w:r>
      <w:r w:rsidR="00090BDC" w:rsidRPr="00CB1100">
        <w:rPr>
          <w:rFonts w:ascii="Times New Roman" w:hAnsi="Times New Roman"/>
          <w:sz w:val="24"/>
        </w:rPr>
        <w:t xml:space="preserve">the failure to meet the requirements of national and local planning policy for good design. It cannot be put </w:t>
      </w:r>
      <w:r w:rsidR="00090BDC" w:rsidRPr="00CB1100">
        <w:rPr>
          <w:rFonts w:ascii="Times New Roman" w:hAnsi="Times New Roman"/>
          <w:sz w:val="24"/>
        </w:rPr>
        <w:lastRenderedPageBreak/>
        <w:t>more clearly than it is in national policy</w:t>
      </w:r>
      <w:r w:rsidR="00AD7409" w:rsidRPr="00CB1100">
        <w:rPr>
          <w:rFonts w:ascii="Times New Roman" w:hAnsi="Times New Roman"/>
          <w:sz w:val="24"/>
        </w:rPr>
        <w:t>. The creation of high quality buildings and places is fundamental to what the planning and development process should achieve</w:t>
      </w:r>
      <w:r w:rsidR="009D54B3">
        <w:rPr>
          <w:rStyle w:val="FootnoteReference"/>
          <w:rFonts w:ascii="Times New Roman" w:hAnsi="Times New Roman"/>
          <w:sz w:val="24"/>
        </w:rPr>
        <w:footnoteReference w:id="48"/>
      </w:r>
      <w:r w:rsidR="00AD7409" w:rsidRPr="00CB1100">
        <w:rPr>
          <w:rFonts w:ascii="Times New Roman" w:hAnsi="Times New Roman"/>
          <w:sz w:val="24"/>
        </w:rPr>
        <w:t xml:space="preserve">. </w:t>
      </w:r>
      <w:r w:rsidR="003A77FA" w:rsidRPr="00CB1100">
        <w:rPr>
          <w:rFonts w:ascii="Times New Roman" w:hAnsi="Times New Roman"/>
          <w:sz w:val="24"/>
        </w:rPr>
        <w:t xml:space="preserve">Good design is a key aspect of sustainable development. Permission should be </w:t>
      </w:r>
      <w:r w:rsidR="003A77FA" w:rsidRPr="00CB1100">
        <w:rPr>
          <w:rFonts w:ascii="Times New Roman" w:hAnsi="Times New Roman"/>
          <w:sz w:val="24"/>
          <w:u w:val="single"/>
        </w:rPr>
        <w:t>refused</w:t>
      </w:r>
      <w:r w:rsidR="003A77FA" w:rsidRPr="00CB1100">
        <w:rPr>
          <w:rFonts w:ascii="Times New Roman" w:hAnsi="Times New Roman"/>
          <w:sz w:val="24"/>
        </w:rPr>
        <w:t xml:space="preserve"> for development of poor design that fails to take the </w:t>
      </w:r>
      <w:r w:rsidR="00B50D3A" w:rsidRPr="00CB1100">
        <w:rPr>
          <w:rFonts w:ascii="Times New Roman" w:hAnsi="Times New Roman"/>
          <w:sz w:val="24"/>
        </w:rPr>
        <w:t xml:space="preserve">opportunities available for improving the character and quality of an area and the way it functions. </w:t>
      </w:r>
      <w:r w:rsidR="00CC2095" w:rsidRPr="00CB1100">
        <w:rPr>
          <w:rFonts w:ascii="Times New Roman" w:hAnsi="Times New Roman"/>
          <w:sz w:val="24"/>
        </w:rPr>
        <w:t xml:space="preserve">This stipulation is reinforced in circumstances where the endorsement of less than good design will carry across to sites C and D. </w:t>
      </w:r>
      <w:r w:rsidR="007A1DC3" w:rsidRPr="00CB1100">
        <w:rPr>
          <w:rFonts w:ascii="Times New Roman" w:hAnsi="Times New Roman"/>
          <w:sz w:val="24"/>
        </w:rPr>
        <w:t>If the Inspector concludes that the proposals do not meet the appropriate design standards for good design then national policy provides the answer to this appeal. It must be refused.</w:t>
      </w:r>
      <w:r>
        <w:rPr>
          <w:rFonts w:ascii="Times New Roman" w:hAnsi="Times New Roman"/>
          <w:sz w:val="24"/>
        </w:rPr>
        <w:t>”</w:t>
      </w:r>
    </w:p>
    <w:p w14:paraId="38921014" w14:textId="567FA369" w:rsidR="00CB1100" w:rsidRDefault="00CB1100" w:rsidP="00CB1100">
      <w:pPr>
        <w:spacing w:line="360" w:lineRule="auto"/>
        <w:jc w:val="both"/>
        <w:rPr>
          <w:rFonts w:ascii="Times New Roman" w:hAnsi="Times New Roman"/>
          <w:sz w:val="24"/>
        </w:rPr>
      </w:pPr>
    </w:p>
    <w:p w14:paraId="79ACCC4E" w14:textId="251AF648" w:rsidR="00CB1100" w:rsidRDefault="002E39A9" w:rsidP="00CB1100">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Before concluding, some peripheral </w:t>
      </w:r>
      <w:r w:rsidR="00D07988">
        <w:rPr>
          <w:rFonts w:ascii="Times New Roman" w:hAnsi="Times New Roman"/>
          <w:sz w:val="24"/>
        </w:rPr>
        <w:t>points raised by the Appellant in questioning or comment fall to be addressed:</w:t>
      </w:r>
    </w:p>
    <w:p w14:paraId="1666F1F7" w14:textId="12452966" w:rsidR="00D07988" w:rsidRDefault="00D07988" w:rsidP="00D07988">
      <w:pPr>
        <w:pStyle w:val="ListParagraph"/>
        <w:numPr>
          <w:ilvl w:val="0"/>
          <w:numId w:val="6"/>
        </w:numPr>
        <w:spacing w:line="360" w:lineRule="auto"/>
        <w:jc w:val="both"/>
        <w:rPr>
          <w:rFonts w:ascii="Times New Roman" w:hAnsi="Times New Roman"/>
          <w:sz w:val="24"/>
        </w:rPr>
      </w:pPr>
      <w:r w:rsidRPr="00A13ECD">
        <w:rPr>
          <w:rFonts w:ascii="Times New Roman" w:hAnsi="Times New Roman"/>
          <w:sz w:val="24"/>
          <w:u w:val="single"/>
        </w:rPr>
        <w:t>Saved development planning policies</w:t>
      </w:r>
      <w:r>
        <w:rPr>
          <w:rFonts w:ascii="Times New Roman" w:hAnsi="Times New Roman"/>
          <w:sz w:val="24"/>
        </w:rPr>
        <w:t xml:space="preserve"> Mr Bolton suggests in his evidence (e.g. 7.18) that where a </w:t>
      </w:r>
      <w:r w:rsidR="00D33926">
        <w:rPr>
          <w:rFonts w:ascii="Times New Roman" w:hAnsi="Times New Roman"/>
          <w:sz w:val="24"/>
        </w:rPr>
        <w:t xml:space="preserve">development plan policy is saved the supporting test has not been saved and carries no weight. This is not correct – see paragraph 18 of </w:t>
      </w:r>
      <w:r w:rsidR="00564AD4">
        <w:rPr>
          <w:rFonts w:ascii="Times New Roman" w:hAnsi="Times New Roman"/>
          <w:sz w:val="24"/>
          <w:u w:val="single"/>
        </w:rPr>
        <w:t>R (oao Cherkley Campaign Ltd</w:t>
      </w:r>
      <w:r w:rsidR="00216298">
        <w:rPr>
          <w:rFonts w:ascii="Times New Roman" w:hAnsi="Times New Roman"/>
          <w:sz w:val="24"/>
        </w:rPr>
        <w:t xml:space="preserve"> [2014] EWCA Civ 567. The supporting text is not blue pencilled</w:t>
      </w:r>
      <w:r w:rsidR="00960175">
        <w:rPr>
          <w:rFonts w:ascii="Times New Roman" w:hAnsi="Times New Roman"/>
          <w:sz w:val="24"/>
        </w:rPr>
        <w:t>. The statutory provisions save any supporting test relevant to the interpretation of policy</w:t>
      </w:r>
      <w:r w:rsidR="002B30A3">
        <w:rPr>
          <w:rFonts w:ascii="Times New Roman" w:hAnsi="Times New Roman"/>
          <w:sz w:val="24"/>
        </w:rPr>
        <w:t xml:space="preserve"> so that the policy continues with unchanged meaning and effect. As relevant here, H13 and H14 both have supporting text that makes clear the policy will be given effect through SPG.</w:t>
      </w:r>
      <w:r w:rsidR="00CF4E64">
        <w:rPr>
          <w:rFonts w:ascii="Times New Roman" w:hAnsi="Times New Roman"/>
          <w:sz w:val="24"/>
        </w:rPr>
        <w:t xml:space="preserve"> This has a direct bearing on the effect of the policy, which provides for good design and layout. In any event, the point would not apply to CS74 which is not a saved policy</w:t>
      </w:r>
      <w:r w:rsidR="00F85648">
        <w:rPr>
          <w:rFonts w:ascii="Times New Roman" w:hAnsi="Times New Roman"/>
          <w:sz w:val="24"/>
        </w:rPr>
        <w:t xml:space="preserve"> and also</w:t>
      </w:r>
      <w:r w:rsidR="00641BB3">
        <w:rPr>
          <w:rFonts w:ascii="Times New Roman" w:hAnsi="Times New Roman"/>
          <w:sz w:val="24"/>
        </w:rPr>
        <w:t xml:space="preserve"> makes clear that the policy requirements for high quality development will be implemented through supplementary planning guidance. </w:t>
      </w:r>
      <w:r w:rsidR="00B84333">
        <w:rPr>
          <w:rFonts w:ascii="Times New Roman" w:hAnsi="Times New Roman"/>
          <w:sz w:val="24"/>
        </w:rPr>
        <w:t xml:space="preserve">Further, and in any event, the point seems entirely academic given that both Mr Bolton and Mr Walshaw consider assessment against the Brief as relevant to </w:t>
      </w:r>
      <w:r w:rsidR="00774821">
        <w:rPr>
          <w:rFonts w:ascii="Times New Roman" w:hAnsi="Times New Roman"/>
          <w:sz w:val="24"/>
        </w:rPr>
        <w:t xml:space="preserve">an assessment of whether policies H14 and CS74 are met. </w:t>
      </w:r>
    </w:p>
    <w:p w14:paraId="6266FF69" w14:textId="58E9BAEB" w:rsidR="003D17B6" w:rsidRDefault="00B16D3C" w:rsidP="00D07988">
      <w:pPr>
        <w:pStyle w:val="ListParagraph"/>
        <w:numPr>
          <w:ilvl w:val="0"/>
          <w:numId w:val="6"/>
        </w:numPr>
        <w:spacing w:line="360" w:lineRule="auto"/>
        <w:jc w:val="both"/>
        <w:rPr>
          <w:rFonts w:ascii="Times New Roman" w:hAnsi="Times New Roman"/>
          <w:sz w:val="24"/>
        </w:rPr>
      </w:pPr>
      <w:r>
        <w:rPr>
          <w:rFonts w:ascii="Times New Roman" w:hAnsi="Times New Roman"/>
          <w:sz w:val="24"/>
          <w:u w:val="single"/>
        </w:rPr>
        <w:t>Alternative schemes</w:t>
      </w:r>
      <w:r>
        <w:rPr>
          <w:rFonts w:ascii="Times New Roman" w:hAnsi="Times New Roman"/>
          <w:sz w:val="24"/>
        </w:rPr>
        <w:t xml:space="preserve">: </w:t>
      </w:r>
      <w:r w:rsidR="001F22F5">
        <w:rPr>
          <w:rFonts w:ascii="Times New Roman" w:hAnsi="Times New Roman"/>
          <w:sz w:val="24"/>
        </w:rPr>
        <w:t xml:space="preserve">There was a suggestion </w:t>
      </w:r>
      <w:r w:rsidR="000C4DCB">
        <w:rPr>
          <w:rFonts w:ascii="Times New Roman" w:hAnsi="Times New Roman"/>
          <w:sz w:val="24"/>
        </w:rPr>
        <w:t xml:space="preserve">in Mr Bolton’s re-examination that the Council had not demonstrated the shortcomings of the scheme by presenting an alternative design. </w:t>
      </w:r>
      <w:r w:rsidR="008D601C">
        <w:rPr>
          <w:rFonts w:ascii="Times New Roman" w:hAnsi="Times New Roman"/>
          <w:sz w:val="24"/>
        </w:rPr>
        <w:t xml:space="preserve">If that was intended to be a criticism, it is </w:t>
      </w:r>
      <w:r w:rsidR="008D601C">
        <w:rPr>
          <w:rFonts w:ascii="Times New Roman" w:hAnsi="Times New Roman"/>
          <w:sz w:val="24"/>
        </w:rPr>
        <w:lastRenderedPageBreak/>
        <w:t xml:space="preserve">without foundation. </w:t>
      </w:r>
      <w:r w:rsidR="00C14846">
        <w:rPr>
          <w:rFonts w:ascii="Times New Roman" w:hAnsi="Times New Roman"/>
          <w:sz w:val="24"/>
        </w:rPr>
        <w:t xml:space="preserve">As set out above the national and development plan position is clear. A development must </w:t>
      </w:r>
      <w:r w:rsidR="00D82FA3">
        <w:rPr>
          <w:rFonts w:ascii="Times New Roman" w:hAnsi="Times New Roman"/>
          <w:sz w:val="24"/>
        </w:rPr>
        <w:t xml:space="preserve">meet the tests for </w:t>
      </w:r>
      <w:r w:rsidR="00C6425A">
        <w:rPr>
          <w:rFonts w:ascii="Times New Roman" w:hAnsi="Times New Roman"/>
          <w:sz w:val="24"/>
        </w:rPr>
        <w:t>high quality</w:t>
      </w:r>
      <w:r w:rsidR="00D82FA3">
        <w:rPr>
          <w:rFonts w:ascii="Times New Roman" w:hAnsi="Times New Roman"/>
          <w:sz w:val="24"/>
        </w:rPr>
        <w:t xml:space="preserve"> design. This involves taking the available opportunities to improve the character and quality of an area. </w:t>
      </w:r>
      <w:r w:rsidR="007C031A">
        <w:rPr>
          <w:rFonts w:ascii="Times New Roman" w:hAnsi="Times New Roman"/>
          <w:sz w:val="24"/>
        </w:rPr>
        <w:t xml:space="preserve">Through NPPF 127 planning decisions should ensure that developments meet the terms of sub-paragraphs (a) to (f). </w:t>
      </w:r>
      <w:r w:rsidR="00D82FA3">
        <w:rPr>
          <w:rFonts w:ascii="Times New Roman" w:hAnsi="Times New Roman"/>
          <w:sz w:val="24"/>
        </w:rPr>
        <w:t xml:space="preserve">It must also make an efficient use of land. </w:t>
      </w:r>
      <w:r w:rsidR="00527DA9">
        <w:rPr>
          <w:rFonts w:ascii="Times New Roman" w:hAnsi="Times New Roman"/>
          <w:sz w:val="24"/>
        </w:rPr>
        <w:t xml:space="preserve">In this case, it must comply with Brief. </w:t>
      </w:r>
      <w:r w:rsidR="00D82FA3">
        <w:rPr>
          <w:rFonts w:ascii="Times New Roman" w:hAnsi="Times New Roman"/>
          <w:sz w:val="24"/>
        </w:rPr>
        <w:t>This does not mean that</w:t>
      </w:r>
      <w:r w:rsidR="006C36EB">
        <w:rPr>
          <w:rFonts w:ascii="Times New Roman" w:hAnsi="Times New Roman"/>
          <w:sz w:val="24"/>
        </w:rPr>
        <w:t xml:space="preserve"> before a Council can refuse a scheme on such grounds it needs to design a better scheme. </w:t>
      </w:r>
      <w:r w:rsidR="00F45878">
        <w:rPr>
          <w:rFonts w:ascii="Times New Roman" w:hAnsi="Times New Roman"/>
          <w:sz w:val="24"/>
        </w:rPr>
        <w:t>That is to confuse the principles</w:t>
      </w:r>
      <w:r w:rsidR="00F80EB3">
        <w:rPr>
          <w:rFonts w:ascii="Times New Roman" w:hAnsi="Times New Roman"/>
          <w:sz w:val="24"/>
        </w:rPr>
        <w:t xml:space="preserve"> that</w:t>
      </w:r>
      <w:r w:rsidR="00F45878">
        <w:rPr>
          <w:rFonts w:ascii="Times New Roman" w:hAnsi="Times New Roman"/>
          <w:sz w:val="24"/>
        </w:rPr>
        <w:t xml:space="preserve"> apply to the determination of planning applications. The Council recognises that a scheme should not be refused if it is acceptable in</w:t>
      </w:r>
      <w:r w:rsidR="0057390B">
        <w:rPr>
          <w:rFonts w:ascii="Times New Roman" w:hAnsi="Times New Roman"/>
          <w:sz w:val="24"/>
        </w:rPr>
        <w:t xml:space="preserve"> planning and design terms just because there is a better scheme. But it remains for an applicant to show how the scheme complies with national and local policy – or is otherwise justified. If it does not then it should be refused regardless of whether an alternative scheme is presented. It is not for a local planning authority to re-design a scheme. </w:t>
      </w:r>
      <w:r w:rsidR="0067233A">
        <w:rPr>
          <w:rFonts w:ascii="Times New Roman" w:hAnsi="Times New Roman"/>
          <w:sz w:val="24"/>
        </w:rPr>
        <w:t>It is the Council’s case that the scheme has a number of sho</w:t>
      </w:r>
      <w:r w:rsidR="000F4DF2">
        <w:rPr>
          <w:rFonts w:ascii="Times New Roman" w:hAnsi="Times New Roman"/>
          <w:sz w:val="24"/>
        </w:rPr>
        <w:t>r</w:t>
      </w:r>
      <w:r w:rsidR="0067233A">
        <w:rPr>
          <w:rFonts w:ascii="Times New Roman" w:hAnsi="Times New Roman"/>
          <w:sz w:val="24"/>
        </w:rPr>
        <w:t>tcomings when assessed against national and local polity</w:t>
      </w:r>
      <w:r w:rsidR="000F4DF2">
        <w:rPr>
          <w:rFonts w:ascii="Times New Roman" w:hAnsi="Times New Roman"/>
          <w:sz w:val="24"/>
        </w:rPr>
        <w:t xml:space="preserve"> which it has failed to justify and which mean permission should be refused. </w:t>
      </w:r>
    </w:p>
    <w:p w14:paraId="41F44B9B" w14:textId="53209BDA" w:rsidR="00710F36" w:rsidRPr="00710F36" w:rsidRDefault="00710F36" w:rsidP="00D07988">
      <w:pPr>
        <w:pStyle w:val="ListParagraph"/>
        <w:numPr>
          <w:ilvl w:val="0"/>
          <w:numId w:val="6"/>
        </w:numPr>
        <w:spacing w:line="360" w:lineRule="auto"/>
        <w:jc w:val="both"/>
        <w:rPr>
          <w:rFonts w:ascii="Times New Roman" w:hAnsi="Times New Roman"/>
          <w:sz w:val="24"/>
          <w:u w:val="single"/>
        </w:rPr>
      </w:pPr>
      <w:r w:rsidRPr="00710F36">
        <w:rPr>
          <w:rFonts w:ascii="Times New Roman" w:hAnsi="Times New Roman"/>
          <w:sz w:val="24"/>
          <w:u w:val="single"/>
        </w:rPr>
        <w:t>Acquisition History</w:t>
      </w:r>
      <w:r>
        <w:rPr>
          <w:rFonts w:ascii="Times New Roman" w:hAnsi="Times New Roman"/>
          <w:sz w:val="24"/>
          <w:u w:val="single"/>
        </w:rPr>
        <w:t>:</w:t>
      </w:r>
      <w:r>
        <w:rPr>
          <w:rFonts w:ascii="Times New Roman" w:hAnsi="Times New Roman"/>
          <w:sz w:val="24"/>
        </w:rPr>
        <w:t xml:space="preserve"> Although Mr Bolton refers to th</w:t>
      </w:r>
      <w:r w:rsidR="00C75A2F">
        <w:rPr>
          <w:rFonts w:ascii="Times New Roman" w:hAnsi="Times New Roman"/>
          <w:sz w:val="24"/>
        </w:rPr>
        <w:t xml:space="preserve">e procedures relating to the offering of the site to the market this is irrelevant to the planning merits. Those fall to be assessed under the statutory duties that apply to the determination of planning </w:t>
      </w:r>
      <w:r w:rsidR="00BD1D2A">
        <w:rPr>
          <w:rFonts w:ascii="Times New Roman" w:hAnsi="Times New Roman"/>
          <w:sz w:val="24"/>
        </w:rPr>
        <w:t xml:space="preserve">applications. The position of the Council as local planning authority in relation to this appeal is as set out in the Decision Notice and the Council’s evidence to the inquiry. </w:t>
      </w:r>
    </w:p>
    <w:p w14:paraId="01A4929D" w14:textId="77777777" w:rsidR="00710F36" w:rsidRPr="00710F36" w:rsidRDefault="00710F36" w:rsidP="00710F36">
      <w:pPr>
        <w:spacing w:line="360" w:lineRule="auto"/>
        <w:jc w:val="both"/>
        <w:rPr>
          <w:rFonts w:ascii="Times New Roman" w:hAnsi="Times New Roman"/>
          <w:sz w:val="24"/>
        </w:rPr>
      </w:pPr>
    </w:p>
    <w:p w14:paraId="05DBE95B" w14:textId="35CF6670" w:rsidR="00CB1100" w:rsidRPr="00015031" w:rsidRDefault="00915B54" w:rsidP="00015031">
      <w:pPr>
        <w:pStyle w:val="ListParagraph"/>
        <w:numPr>
          <w:ilvl w:val="0"/>
          <w:numId w:val="1"/>
        </w:numPr>
        <w:spacing w:line="360" w:lineRule="auto"/>
        <w:jc w:val="both"/>
        <w:rPr>
          <w:rFonts w:ascii="Times New Roman" w:hAnsi="Times New Roman"/>
          <w:sz w:val="24"/>
        </w:rPr>
      </w:pPr>
      <w:r>
        <w:rPr>
          <w:rFonts w:ascii="Times New Roman" w:hAnsi="Times New Roman"/>
          <w:sz w:val="24"/>
        </w:rPr>
        <w:t xml:space="preserve">For all the above reasons the Council </w:t>
      </w:r>
      <w:r w:rsidR="006478C2">
        <w:rPr>
          <w:rFonts w:ascii="Times New Roman" w:hAnsi="Times New Roman"/>
          <w:sz w:val="24"/>
        </w:rPr>
        <w:t xml:space="preserve">submits that permission should be refused. </w:t>
      </w:r>
    </w:p>
    <w:p w14:paraId="71A739B2" w14:textId="77777777" w:rsidR="007A1DC3" w:rsidRPr="000B1A98" w:rsidRDefault="007A1DC3" w:rsidP="007A1DC3">
      <w:pPr>
        <w:pStyle w:val="ListParagraph"/>
        <w:rPr>
          <w:rFonts w:ascii="Times New Roman" w:hAnsi="Times New Roman"/>
          <w:sz w:val="24"/>
        </w:rPr>
      </w:pPr>
    </w:p>
    <w:p w14:paraId="5E049A7B" w14:textId="36EAEA45" w:rsidR="007A1DC3" w:rsidRPr="000B1A98" w:rsidRDefault="007A1DC3" w:rsidP="007A1DC3">
      <w:pPr>
        <w:spacing w:line="360" w:lineRule="auto"/>
        <w:jc w:val="both"/>
        <w:rPr>
          <w:rFonts w:ascii="Times New Roman" w:hAnsi="Times New Roman"/>
          <w:sz w:val="24"/>
        </w:rPr>
      </w:pPr>
    </w:p>
    <w:p w14:paraId="6D2A269D" w14:textId="2AB0F973" w:rsidR="006C6C5F" w:rsidRPr="000B1A98" w:rsidRDefault="006C6C5F" w:rsidP="007A1DC3">
      <w:pPr>
        <w:spacing w:line="360" w:lineRule="auto"/>
        <w:jc w:val="both"/>
        <w:rPr>
          <w:rFonts w:ascii="Times New Roman" w:hAnsi="Times New Roman"/>
          <w:b/>
          <w:bCs/>
          <w:sz w:val="24"/>
        </w:rPr>
      </w:pPr>
      <w:r w:rsidRPr="000B1A98">
        <w:rPr>
          <w:rFonts w:ascii="Times New Roman" w:hAnsi="Times New Roman"/>
          <w:b/>
          <w:bCs/>
          <w:sz w:val="24"/>
        </w:rPr>
        <w:t>Landmark Chambers,</w:t>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t>GUY WILLIAMS</w:t>
      </w:r>
    </w:p>
    <w:p w14:paraId="370D974A" w14:textId="2E18C822" w:rsidR="006C6C5F" w:rsidRPr="000B1A98" w:rsidRDefault="006C6C5F" w:rsidP="007A1DC3">
      <w:pPr>
        <w:spacing w:line="360" w:lineRule="auto"/>
        <w:jc w:val="both"/>
        <w:rPr>
          <w:rFonts w:ascii="Times New Roman" w:hAnsi="Times New Roman"/>
          <w:b/>
          <w:bCs/>
          <w:sz w:val="24"/>
        </w:rPr>
      </w:pPr>
      <w:r w:rsidRPr="000B1A98">
        <w:rPr>
          <w:rFonts w:ascii="Times New Roman" w:hAnsi="Times New Roman"/>
          <w:b/>
          <w:bCs/>
          <w:sz w:val="24"/>
        </w:rPr>
        <w:t>180 Fleet Street,</w:t>
      </w:r>
    </w:p>
    <w:p w14:paraId="1AF8308D" w14:textId="74E82A97" w:rsidR="00064F71" w:rsidRPr="009D54B3" w:rsidRDefault="006C6C5F" w:rsidP="009D54B3">
      <w:pPr>
        <w:spacing w:line="360" w:lineRule="auto"/>
        <w:jc w:val="both"/>
        <w:rPr>
          <w:rFonts w:ascii="Times New Roman" w:hAnsi="Times New Roman"/>
          <w:b/>
          <w:bCs/>
          <w:sz w:val="24"/>
        </w:rPr>
      </w:pPr>
      <w:r w:rsidRPr="000B1A98">
        <w:rPr>
          <w:rFonts w:ascii="Times New Roman" w:hAnsi="Times New Roman"/>
          <w:b/>
          <w:bCs/>
          <w:sz w:val="24"/>
        </w:rPr>
        <w:t>London EC4A 4HG</w:t>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00322D98">
        <w:rPr>
          <w:rFonts w:ascii="Times New Roman" w:hAnsi="Times New Roman"/>
          <w:b/>
          <w:bCs/>
          <w:sz w:val="24"/>
        </w:rPr>
        <w:t>21</w:t>
      </w:r>
      <w:r w:rsidR="00322D98" w:rsidRPr="00322D98">
        <w:rPr>
          <w:rFonts w:ascii="Times New Roman" w:hAnsi="Times New Roman"/>
          <w:b/>
          <w:bCs/>
          <w:sz w:val="24"/>
          <w:vertAlign w:val="superscript"/>
        </w:rPr>
        <w:t>st</w:t>
      </w:r>
      <w:r w:rsidRPr="000B1A98">
        <w:rPr>
          <w:rFonts w:ascii="Times New Roman" w:hAnsi="Times New Roman"/>
          <w:b/>
          <w:bCs/>
          <w:sz w:val="24"/>
        </w:rPr>
        <w:t xml:space="preserve"> January 2021.</w:t>
      </w:r>
    </w:p>
    <w:sectPr w:rsidR="00064F71" w:rsidRPr="009D54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D09C" w14:textId="77777777" w:rsidR="0098267E" w:rsidRDefault="0098267E" w:rsidP="000668AF">
      <w:pPr>
        <w:spacing w:after="0" w:line="240" w:lineRule="auto"/>
      </w:pPr>
      <w:r>
        <w:separator/>
      </w:r>
    </w:p>
  </w:endnote>
  <w:endnote w:type="continuationSeparator" w:id="0">
    <w:p w14:paraId="5317DD8A" w14:textId="77777777" w:rsidR="0098267E" w:rsidRDefault="0098267E" w:rsidP="000668AF">
      <w:pPr>
        <w:spacing w:after="0" w:line="240" w:lineRule="auto"/>
      </w:pPr>
      <w:r>
        <w:continuationSeparator/>
      </w:r>
    </w:p>
  </w:endnote>
  <w:endnote w:type="continuationNotice" w:id="1">
    <w:p w14:paraId="2E867B2F" w14:textId="77777777" w:rsidR="0098267E" w:rsidRDefault="00982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480279"/>
      <w:docPartObj>
        <w:docPartGallery w:val="Page Numbers (Bottom of Page)"/>
        <w:docPartUnique/>
      </w:docPartObj>
    </w:sdtPr>
    <w:sdtEndPr>
      <w:rPr>
        <w:noProof/>
      </w:rPr>
    </w:sdtEndPr>
    <w:sdtContent>
      <w:p w14:paraId="3192677F" w14:textId="0ABAF50D" w:rsidR="005365BE" w:rsidRDefault="00536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7E0FA" w14:textId="77777777" w:rsidR="005365BE" w:rsidRDefault="0053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2089" w14:textId="77777777" w:rsidR="0098267E" w:rsidRDefault="0098267E" w:rsidP="000668AF">
      <w:pPr>
        <w:spacing w:after="0" w:line="240" w:lineRule="auto"/>
      </w:pPr>
      <w:r>
        <w:separator/>
      </w:r>
    </w:p>
  </w:footnote>
  <w:footnote w:type="continuationSeparator" w:id="0">
    <w:p w14:paraId="3A665DA0" w14:textId="77777777" w:rsidR="0098267E" w:rsidRDefault="0098267E" w:rsidP="000668AF">
      <w:pPr>
        <w:spacing w:after="0" w:line="240" w:lineRule="auto"/>
      </w:pPr>
      <w:r>
        <w:continuationSeparator/>
      </w:r>
    </w:p>
  </w:footnote>
  <w:footnote w:type="continuationNotice" w:id="1">
    <w:p w14:paraId="407C0F6D" w14:textId="77777777" w:rsidR="0098267E" w:rsidRDefault="0098267E">
      <w:pPr>
        <w:spacing w:after="0" w:line="240" w:lineRule="auto"/>
      </w:pPr>
    </w:p>
  </w:footnote>
  <w:footnote w:id="2">
    <w:p w14:paraId="49C9496C" w14:textId="5700F894" w:rsidR="000668AF" w:rsidRDefault="000668AF">
      <w:pPr>
        <w:pStyle w:val="FootnoteText"/>
      </w:pPr>
      <w:r>
        <w:rPr>
          <w:rStyle w:val="FootnoteReference"/>
        </w:rPr>
        <w:footnoteRef/>
      </w:r>
      <w:r>
        <w:t xml:space="preserve"> See Laura Stephens’ rebuttal at 2.1</w:t>
      </w:r>
    </w:p>
  </w:footnote>
  <w:footnote w:id="3">
    <w:p w14:paraId="26DB2AAE" w14:textId="0B85BD1F" w:rsidR="00506238" w:rsidRDefault="00506238">
      <w:pPr>
        <w:pStyle w:val="FootnoteText"/>
      </w:pPr>
      <w:r>
        <w:rPr>
          <w:rStyle w:val="FootnoteReference"/>
        </w:rPr>
        <w:footnoteRef/>
      </w:r>
      <w:r>
        <w:t xml:space="preserve"> See Council’s Note on the status of this document. </w:t>
      </w:r>
    </w:p>
  </w:footnote>
  <w:footnote w:id="4">
    <w:p w14:paraId="3810E927" w14:textId="203705C9" w:rsidR="00E23D27" w:rsidRDefault="00E23D27">
      <w:pPr>
        <w:pStyle w:val="FootnoteText"/>
      </w:pPr>
      <w:r>
        <w:rPr>
          <w:rStyle w:val="FootnoteReference"/>
        </w:rPr>
        <w:footnoteRef/>
      </w:r>
      <w:r>
        <w:t xml:space="preserve"> CD5.14</w:t>
      </w:r>
    </w:p>
  </w:footnote>
  <w:footnote w:id="5">
    <w:p w14:paraId="1E725169" w14:textId="33226B3E" w:rsidR="00634B29" w:rsidRDefault="00634B29">
      <w:pPr>
        <w:pStyle w:val="FootnoteText"/>
      </w:pPr>
      <w:r>
        <w:rPr>
          <w:rStyle w:val="FootnoteReference"/>
        </w:rPr>
        <w:footnoteRef/>
      </w:r>
      <w:r>
        <w:t xml:space="preserve"> NPPF 130</w:t>
      </w:r>
    </w:p>
  </w:footnote>
  <w:footnote w:id="6">
    <w:p w14:paraId="67C3F76D" w14:textId="7F7464B9" w:rsidR="007631DA" w:rsidRDefault="007631DA">
      <w:pPr>
        <w:pStyle w:val="FootnoteText"/>
      </w:pPr>
      <w:r>
        <w:rPr>
          <w:rStyle w:val="FootnoteReference"/>
        </w:rPr>
        <w:footnoteRef/>
      </w:r>
      <w:r>
        <w:t xml:space="preserve"> See NPPF paras 126 and 130. </w:t>
      </w:r>
    </w:p>
  </w:footnote>
  <w:footnote w:id="7">
    <w:p w14:paraId="03E65A0A" w14:textId="548FFD77" w:rsidR="008E655F" w:rsidRDefault="008E655F">
      <w:pPr>
        <w:pStyle w:val="FootnoteText"/>
      </w:pPr>
      <w:r>
        <w:rPr>
          <w:rStyle w:val="FootnoteReference"/>
        </w:rPr>
        <w:footnoteRef/>
      </w:r>
      <w:r>
        <w:t xml:space="preserve"> NPPF 127</w:t>
      </w:r>
    </w:p>
  </w:footnote>
  <w:footnote w:id="8">
    <w:p w14:paraId="7F6283F6" w14:textId="62465983" w:rsidR="001C795E" w:rsidRDefault="001C795E">
      <w:pPr>
        <w:pStyle w:val="FootnoteText"/>
      </w:pPr>
      <w:r>
        <w:rPr>
          <w:rStyle w:val="FootnoteReference"/>
        </w:rPr>
        <w:footnoteRef/>
      </w:r>
      <w:r>
        <w:t xml:space="preserve"> NPPF 127</w:t>
      </w:r>
    </w:p>
  </w:footnote>
  <w:footnote w:id="9">
    <w:p w14:paraId="7C500424" w14:textId="25634F63" w:rsidR="004A1C7F" w:rsidRDefault="004A1C7F">
      <w:pPr>
        <w:pStyle w:val="FootnoteText"/>
      </w:pPr>
      <w:r>
        <w:rPr>
          <w:rStyle w:val="FootnoteReference"/>
        </w:rPr>
        <w:footnoteRef/>
      </w:r>
      <w:r>
        <w:t xml:space="preserve"> On a word search there are no fewer than 20 references to </w:t>
      </w:r>
      <w:r w:rsidR="00A92DAF">
        <w:t>NPPF 127 in Mrs Hull’s evidence and explicit substantiation of non-compliance with it</w:t>
      </w:r>
      <w:r w:rsidR="00C316AA">
        <w:t>.</w:t>
      </w:r>
    </w:p>
  </w:footnote>
  <w:footnote w:id="10">
    <w:p w14:paraId="348C3792" w14:textId="386439F8" w:rsidR="0048445C" w:rsidRDefault="0048445C">
      <w:pPr>
        <w:pStyle w:val="FootnoteText"/>
      </w:pPr>
      <w:r>
        <w:rPr>
          <w:rStyle w:val="FootnoteReference"/>
        </w:rPr>
        <w:footnoteRef/>
      </w:r>
      <w:r>
        <w:t xml:space="preserve"> All in cross-examination by GW</w:t>
      </w:r>
    </w:p>
  </w:footnote>
  <w:footnote w:id="11">
    <w:p w14:paraId="73384ECD" w14:textId="4CB0C638" w:rsidR="000D113D" w:rsidRDefault="000D113D">
      <w:pPr>
        <w:pStyle w:val="FootnoteText"/>
      </w:pPr>
      <w:r>
        <w:rPr>
          <w:rStyle w:val="FootnoteReference"/>
        </w:rPr>
        <w:footnoteRef/>
      </w:r>
      <w:r>
        <w:t xml:space="preserve"> CD5.4</w:t>
      </w:r>
    </w:p>
  </w:footnote>
  <w:footnote w:id="12">
    <w:p w14:paraId="09CE11B6" w14:textId="63A09E03" w:rsidR="000D113D" w:rsidRDefault="000D113D">
      <w:pPr>
        <w:pStyle w:val="FootnoteText"/>
      </w:pPr>
      <w:r>
        <w:rPr>
          <w:rStyle w:val="FootnoteReference"/>
        </w:rPr>
        <w:footnoteRef/>
      </w:r>
      <w:r>
        <w:t xml:space="preserve"> CD</w:t>
      </w:r>
      <w:r w:rsidR="00F46360">
        <w:t xml:space="preserve"> 5.14</w:t>
      </w:r>
    </w:p>
  </w:footnote>
  <w:footnote w:id="13">
    <w:p w14:paraId="7CC14DFA" w14:textId="725D35D7" w:rsidR="00642D4D" w:rsidRDefault="00642D4D">
      <w:pPr>
        <w:pStyle w:val="FootnoteText"/>
      </w:pPr>
      <w:r>
        <w:rPr>
          <w:rStyle w:val="FootnoteReference"/>
        </w:rPr>
        <w:footnoteRef/>
      </w:r>
      <w:r>
        <w:t xml:space="preserve"> See proof at 6.54</w:t>
      </w:r>
    </w:p>
  </w:footnote>
  <w:footnote w:id="14">
    <w:p w14:paraId="70F4C9E3" w14:textId="766035E7" w:rsidR="00260A00" w:rsidRPr="00E36B76" w:rsidRDefault="00260A00">
      <w:pPr>
        <w:pStyle w:val="FootnoteText"/>
      </w:pPr>
      <w:r>
        <w:rPr>
          <w:rStyle w:val="FootnoteReference"/>
        </w:rPr>
        <w:footnoteRef/>
      </w:r>
      <w:r>
        <w:t xml:space="preserve"> This should be uncontroversial – see </w:t>
      </w:r>
      <w:r w:rsidR="00382AF6">
        <w:t xml:space="preserve">e.g. </w:t>
      </w:r>
      <w:r w:rsidR="00382AF6">
        <w:rPr>
          <w:u w:val="single"/>
        </w:rPr>
        <w:t>Wavendon Properties Ltd v SSHCLG</w:t>
      </w:r>
      <w:r w:rsidR="00382AF6">
        <w:t xml:space="preserve"> [2019] PTSR</w:t>
      </w:r>
      <w:r w:rsidR="00E36B76">
        <w:t xml:space="preserve"> 2077 at 43; </w:t>
      </w:r>
      <w:r w:rsidR="00E36B76">
        <w:rPr>
          <w:u w:val="single"/>
        </w:rPr>
        <w:t>Keep Bourne End Green v Buckinghamshire Council</w:t>
      </w:r>
      <w:r w:rsidR="00E36B76">
        <w:t xml:space="preserve"> [20</w:t>
      </w:r>
      <w:r w:rsidR="006E7F78">
        <w:t>2</w:t>
      </w:r>
      <w:r w:rsidR="00E36B76">
        <w:t xml:space="preserve">1] JPL </w:t>
      </w:r>
      <w:r w:rsidR="006E7F78">
        <w:t>181 at</w:t>
      </w:r>
      <w:r w:rsidR="00F36128">
        <w:t xml:space="preserve"> 78 applied to PPG</w:t>
      </w:r>
    </w:p>
  </w:footnote>
  <w:footnote w:id="15">
    <w:p w14:paraId="13CAC910" w14:textId="116F9540" w:rsidR="00EE4E7E" w:rsidRDefault="00EE4E7E">
      <w:pPr>
        <w:pStyle w:val="FootnoteText"/>
      </w:pPr>
      <w:r>
        <w:rPr>
          <w:rStyle w:val="FootnoteReference"/>
        </w:rPr>
        <w:footnoteRef/>
      </w:r>
      <w:r>
        <w:t xml:space="preserve"> At 6.2</w:t>
      </w:r>
    </w:p>
  </w:footnote>
  <w:footnote w:id="16">
    <w:p w14:paraId="0015895E" w14:textId="2DFE51CF" w:rsidR="00AB32E2" w:rsidRDefault="00AB32E2">
      <w:pPr>
        <w:pStyle w:val="FootnoteText"/>
      </w:pPr>
      <w:r>
        <w:rPr>
          <w:rStyle w:val="FootnoteReference"/>
        </w:rPr>
        <w:footnoteRef/>
      </w:r>
      <w:r>
        <w:t xml:space="preserve"> </w:t>
      </w:r>
      <w:r w:rsidR="00120F2A">
        <w:t>CD2.21</w:t>
      </w:r>
    </w:p>
  </w:footnote>
  <w:footnote w:id="17">
    <w:p w14:paraId="48E5C584" w14:textId="35F0BD98" w:rsidR="00A2669A" w:rsidRDefault="00A2669A">
      <w:pPr>
        <w:pStyle w:val="FootnoteText"/>
      </w:pPr>
      <w:r>
        <w:rPr>
          <w:rStyle w:val="FootnoteReference"/>
        </w:rPr>
        <w:footnoteRef/>
      </w:r>
      <w:r>
        <w:t xml:space="preserve"> Proof 3.12</w:t>
      </w:r>
    </w:p>
  </w:footnote>
  <w:footnote w:id="18">
    <w:p w14:paraId="13E0644A" w14:textId="03EBEA1F" w:rsidR="00642F81" w:rsidRDefault="00642F81">
      <w:pPr>
        <w:pStyle w:val="FootnoteText"/>
      </w:pPr>
      <w:r>
        <w:rPr>
          <w:rStyle w:val="FootnoteReference"/>
        </w:rPr>
        <w:footnoteRef/>
      </w:r>
      <w:r>
        <w:t xml:space="preserve"> </w:t>
      </w:r>
      <w:r w:rsidR="00A74C5E">
        <w:t>Proof 3.21 (3)</w:t>
      </w:r>
    </w:p>
  </w:footnote>
  <w:footnote w:id="19">
    <w:p w14:paraId="00C3A8C7" w14:textId="6E4F7C74" w:rsidR="00B60B09" w:rsidRDefault="00B60B09">
      <w:pPr>
        <w:pStyle w:val="FootnoteText"/>
      </w:pPr>
      <w:r>
        <w:rPr>
          <w:rStyle w:val="FootnoteReference"/>
        </w:rPr>
        <w:footnoteRef/>
      </w:r>
      <w:r>
        <w:t xml:space="preserve"> 3.12</w:t>
      </w:r>
    </w:p>
  </w:footnote>
  <w:footnote w:id="20">
    <w:p w14:paraId="13BB454A" w14:textId="5A4F3928" w:rsidR="005F2B4D" w:rsidRDefault="005F2B4D">
      <w:pPr>
        <w:pStyle w:val="FootnoteText"/>
      </w:pPr>
      <w:r>
        <w:rPr>
          <w:rStyle w:val="FootnoteReference"/>
        </w:rPr>
        <w:footnoteRef/>
      </w:r>
      <w:r>
        <w:t xml:space="preserve"> Proof 3.13</w:t>
      </w:r>
      <w:r w:rsidR="00226F1D">
        <w:t xml:space="preserve"> </w:t>
      </w:r>
    </w:p>
  </w:footnote>
  <w:footnote w:id="21">
    <w:p w14:paraId="5C5CE898" w14:textId="365FA2A7" w:rsidR="00EE62B9" w:rsidRDefault="00EE62B9">
      <w:pPr>
        <w:pStyle w:val="FootnoteText"/>
      </w:pPr>
      <w:r>
        <w:rPr>
          <w:rStyle w:val="FootnoteReference"/>
        </w:rPr>
        <w:footnoteRef/>
      </w:r>
      <w:r>
        <w:t xml:space="preserve"> App. 6</w:t>
      </w:r>
    </w:p>
  </w:footnote>
  <w:footnote w:id="22">
    <w:p w14:paraId="02BAB39F" w14:textId="0A318EA5" w:rsidR="007136FC" w:rsidRDefault="007136FC">
      <w:pPr>
        <w:pStyle w:val="FootnoteText"/>
      </w:pPr>
      <w:r>
        <w:rPr>
          <w:rStyle w:val="FootnoteReference"/>
        </w:rPr>
        <w:footnoteRef/>
      </w:r>
      <w:r>
        <w:t xml:space="preserve"> </w:t>
      </w:r>
      <w:r w:rsidR="003D7F2A">
        <w:t>3.1.10</w:t>
      </w:r>
    </w:p>
  </w:footnote>
  <w:footnote w:id="23">
    <w:p w14:paraId="22E43785" w14:textId="0156FEB8" w:rsidR="001F256A" w:rsidRDefault="001F256A">
      <w:pPr>
        <w:pStyle w:val="FootnoteText"/>
      </w:pPr>
      <w:r>
        <w:rPr>
          <w:rStyle w:val="FootnoteReference"/>
        </w:rPr>
        <w:footnoteRef/>
      </w:r>
      <w:r>
        <w:t xml:space="preserve"> 5.14</w:t>
      </w:r>
    </w:p>
  </w:footnote>
  <w:footnote w:id="24">
    <w:p w14:paraId="2E721123" w14:textId="66A5E71F" w:rsidR="00E209C4" w:rsidRDefault="00E209C4">
      <w:pPr>
        <w:pStyle w:val="FootnoteText"/>
      </w:pPr>
      <w:r>
        <w:rPr>
          <w:rStyle w:val="FootnoteReference"/>
        </w:rPr>
        <w:footnoteRef/>
      </w:r>
      <w:r>
        <w:t xml:space="preserve"> 6.53</w:t>
      </w:r>
    </w:p>
  </w:footnote>
  <w:footnote w:id="25">
    <w:p w14:paraId="52CA034E" w14:textId="1173BE0A" w:rsidR="00F61016" w:rsidRDefault="00F61016">
      <w:pPr>
        <w:pStyle w:val="FootnoteText"/>
      </w:pPr>
      <w:r>
        <w:rPr>
          <w:rStyle w:val="FootnoteReference"/>
        </w:rPr>
        <w:footnoteRef/>
      </w:r>
      <w:r>
        <w:t xml:space="preserve"> 6.54</w:t>
      </w:r>
    </w:p>
  </w:footnote>
  <w:footnote w:id="26">
    <w:p w14:paraId="2FC7651C" w14:textId="006D3C81" w:rsidR="00A06FF0" w:rsidRDefault="00A06FF0">
      <w:pPr>
        <w:pStyle w:val="FootnoteText"/>
      </w:pPr>
      <w:r>
        <w:rPr>
          <w:rStyle w:val="FootnoteReference"/>
        </w:rPr>
        <w:footnoteRef/>
      </w:r>
      <w:r>
        <w:t xml:space="preserve"> 6.54</w:t>
      </w:r>
    </w:p>
  </w:footnote>
  <w:footnote w:id="27">
    <w:p w14:paraId="60DC369F" w14:textId="68FD568F" w:rsidR="005D2571" w:rsidRDefault="005D2571">
      <w:pPr>
        <w:pStyle w:val="FootnoteText"/>
      </w:pPr>
      <w:r>
        <w:rPr>
          <w:rStyle w:val="FootnoteReference"/>
        </w:rPr>
        <w:footnoteRef/>
      </w:r>
      <w:r>
        <w:t xml:space="preserve"> Brief 6.2</w:t>
      </w:r>
    </w:p>
  </w:footnote>
  <w:footnote w:id="28">
    <w:p w14:paraId="569AF827" w14:textId="1F7C44BD" w:rsidR="00941EA1" w:rsidRDefault="00941EA1">
      <w:pPr>
        <w:pStyle w:val="FootnoteText"/>
      </w:pPr>
      <w:r>
        <w:rPr>
          <w:rStyle w:val="FootnoteReference"/>
        </w:rPr>
        <w:footnoteRef/>
      </w:r>
      <w:r>
        <w:t xml:space="preserve"> 6.53</w:t>
      </w:r>
    </w:p>
  </w:footnote>
  <w:footnote w:id="29">
    <w:p w14:paraId="769B13F2" w14:textId="65722250" w:rsidR="00794418" w:rsidRDefault="00794418">
      <w:pPr>
        <w:pStyle w:val="FootnoteText"/>
      </w:pPr>
      <w:r>
        <w:rPr>
          <w:rStyle w:val="FootnoteReference"/>
        </w:rPr>
        <w:footnoteRef/>
      </w:r>
      <w:r>
        <w:t xml:space="preserve"> 6.54</w:t>
      </w:r>
    </w:p>
  </w:footnote>
  <w:footnote w:id="30">
    <w:p w14:paraId="71B562A7" w14:textId="0ABEF93F" w:rsidR="00A10A91" w:rsidRDefault="00A10A91">
      <w:pPr>
        <w:pStyle w:val="FootnoteText"/>
      </w:pPr>
      <w:r>
        <w:rPr>
          <w:rStyle w:val="FootnoteReference"/>
        </w:rPr>
        <w:footnoteRef/>
      </w:r>
      <w:r>
        <w:t xml:space="preserve"> 3.21(3) as a key </w:t>
      </w:r>
      <w:r w:rsidR="00A327FD">
        <w:t>characteristic</w:t>
      </w:r>
      <w:r>
        <w:t xml:space="preserve"> that is “replicated” 5.14</w:t>
      </w:r>
    </w:p>
  </w:footnote>
  <w:footnote w:id="31">
    <w:p w14:paraId="4A5AF654" w14:textId="2FECC3DA" w:rsidR="007263C9" w:rsidRDefault="007263C9">
      <w:pPr>
        <w:pStyle w:val="FootnoteText"/>
      </w:pPr>
      <w:r>
        <w:rPr>
          <w:rStyle w:val="FootnoteReference"/>
        </w:rPr>
        <w:footnoteRef/>
      </w:r>
      <w:r>
        <w:t xml:space="preserve"> Mr Topping proof 4.1.9</w:t>
      </w:r>
    </w:p>
  </w:footnote>
  <w:footnote w:id="32">
    <w:p w14:paraId="23A75F5B" w14:textId="5AD94C28" w:rsidR="003049AB" w:rsidRDefault="003049AB">
      <w:pPr>
        <w:pStyle w:val="FootnoteText"/>
      </w:pPr>
      <w:r>
        <w:rPr>
          <w:rStyle w:val="FootnoteReference"/>
        </w:rPr>
        <w:footnoteRef/>
      </w:r>
      <w:r>
        <w:t xml:space="preserve"> Xx Mrs Hull</w:t>
      </w:r>
    </w:p>
  </w:footnote>
  <w:footnote w:id="33">
    <w:p w14:paraId="3F475D5A" w14:textId="4C84CEF6" w:rsidR="00A72DCC" w:rsidRDefault="00A72DCC">
      <w:pPr>
        <w:pStyle w:val="FootnoteText"/>
      </w:pPr>
      <w:r>
        <w:rPr>
          <w:rStyle w:val="FootnoteReference"/>
        </w:rPr>
        <w:footnoteRef/>
      </w:r>
      <w:r>
        <w:t xml:space="preserve"> See Topping proof </w:t>
      </w:r>
      <w:r w:rsidR="00B752E3">
        <w:t>4.1</w:t>
      </w:r>
      <w:r w:rsidR="004768D1">
        <w:t xml:space="preserve">.9 – new planting of 0.48ha against a loss of 1.1ha. </w:t>
      </w:r>
    </w:p>
  </w:footnote>
  <w:footnote w:id="34">
    <w:p w14:paraId="07289CF5" w14:textId="09DF362C" w:rsidR="00B971E7" w:rsidRDefault="00B971E7">
      <w:pPr>
        <w:pStyle w:val="FootnoteText"/>
      </w:pPr>
      <w:r>
        <w:rPr>
          <w:rStyle w:val="FootnoteReference"/>
        </w:rPr>
        <w:footnoteRef/>
      </w:r>
      <w:r>
        <w:t xml:space="preserve"> See now NPPF 118 and 122</w:t>
      </w:r>
    </w:p>
  </w:footnote>
  <w:footnote w:id="35">
    <w:p w14:paraId="030A13CC" w14:textId="0DBC2CB4" w:rsidR="007271CE" w:rsidRDefault="007271CE">
      <w:pPr>
        <w:pStyle w:val="FootnoteText"/>
      </w:pPr>
      <w:r>
        <w:rPr>
          <w:rStyle w:val="FootnoteReference"/>
        </w:rPr>
        <w:footnoteRef/>
      </w:r>
      <w:r>
        <w:t xml:space="preserve"> XX GW</w:t>
      </w:r>
    </w:p>
  </w:footnote>
  <w:footnote w:id="36">
    <w:p w14:paraId="5AFF0AAF" w14:textId="6E2F8B2D" w:rsidR="00B708C2" w:rsidRDefault="00B708C2">
      <w:pPr>
        <w:pStyle w:val="FootnoteText"/>
      </w:pPr>
      <w:r>
        <w:rPr>
          <w:rStyle w:val="FootnoteReference"/>
        </w:rPr>
        <w:footnoteRef/>
      </w:r>
      <w:r>
        <w:t xml:space="preserve"> See CS26 0 CD 5.11</w:t>
      </w:r>
    </w:p>
  </w:footnote>
  <w:footnote w:id="37">
    <w:p w14:paraId="79AFF3B6" w14:textId="1DC8CC08" w:rsidR="005F4844" w:rsidRDefault="005F4844">
      <w:pPr>
        <w:pStyle w:val="FootnoteText"/>
      </w:pPr>
      <w:r>
        <w:rPr>
          <w:rStyle w:val="FootnoteReference"/>
        </w:rPr>
        <w:footnoteRef/>
      </w:r>
      <w:r>
        <w:t xml:space="preserve"> CD5.19 para 5.1.2</w:t>
      </w:r>
    </w:p>
  </w:footnote>
  <w:footnote w:id="38">
    <w:p w14:paraId="7149B31F" w14:textId="411FD071" w:rsidR="004B0413" w:rsidRDefault="004B0413">
      <w:pPr>
        <w:pStyle w:val="FootnoteText"/>
      </w:pPr>
      <w:r>
        <w:rPr>
          <w:rStyle w:val="FootnoteReference"/>
        </w:rPr>
        <w:footnoteRef/>
      </w:r>
      <w:r>
        <w:t xml:space="preserve"> See SoCG CD 4.2 at 7.22</w:t>
      </w:r>
    </w:p>
  </w:footnote>
  <w:footnote w:id="39">
    <w:p w14:paraId="1A4415DD" w14:textId="589867EA" w:rsidR="00727915" w:rsidRDefault="00727915">
      <w:pPr>
        <w:pStyle w:val="FootnoteText"/>
      </w:pPr>
      <w:r>
        <w:rPr>
          <w:rStyle w:val="FootnoteReference"/>
        </w:rPr>
        <w:footnoteRef/>
      </w:r>
      <w:r>
        <w:t xml:space="preserve"> As repeatedly suggested in cross-examination by the Appellant. </w:t>
      </w:r>
    </w:p>
  </w:footnote>
  <w:footnote w:id="40">
    <w:p w14:paraId="0FA8E24E" w14:textId="4BF5686B" w:rsidR="001965B3" w:rsidRDefault="001965B3">
      <w:pPr>
        <w:pStyle w:val="FootnoteText"/>
      </w:pPr>
      <w:r>
        <w:rPr>
          <w:rStyle w:val="FootnoteReference"/>
        </w:rPr>
        <w:footnoteRef/>
      </w:r>
      <w:r>
        <w:t xml:space="preserve"> XX GW</w:t>
      </w:r>
    </w:p>
  </w:footnote>
  <w:footnote w:id="41">
    <w:p w14:paraId="0A08A09B" w14:textId="55E03FE4" w:rsidR="00BF4EE0" w:rsidRDefault="00BF4EE0">
      <w:pPr>
        <w:pStyle w:val="FootnoteText"/>
      </w:pPr>
      <w:r>
        <w:rPr>
          <w:rStyle w:val="FootnoteReference"/>
        </w:rPr>
        <w:footnoteRef/>
      </w:r>
      <w:r>
        <w:t xml:space="preserve"> XX GW</w:t>
      </w:r>
    </w:p>
  </w:footnote>
  <w:footnote w:id="42">
    <w:p w14:paraId="02CA06F4" w14:textId="732C26A6" w:rsidR="00ED322D" w:rsidRDefault="00ED322D">
      <w:pPr>
        <w:pStyle w:val="FootnoteText"/>
      </w:pPr>
      <w:r>
        <w:rPr>
          <w:rStyle w:val="FootnoteReference"/>
        </w:rPr>
        <w:footnoteRef/>
      </w:r>
      <w:r>
        <w:t xml:space="preserve"> 1.2</w:t>
      </w:r>
    </w:p>
  </w:footnote>
  <w:footnote w:id="43">
    <w:p w14:paraId="782688D3" w14:textId="09A96989" w:rsidR="00ED322D" w:rsidRDefault="00ED322D">
      <w:pPr>
        <w:pStyle w:val="FootnoteText"/>
      </w:pPr>
      <w:r>
        <w:rPr>
          <w:rStyle w:val="FootnoteReference"/>
        </w:rPr>
        <w:footnoteRef/>
      </w:r>
      <w:r>
        <w:t xml:space="preserve"> 3.2.6</w:t>
      </w:r>
    </w:p>
  </w:footnote>
  <w:footnote w:id="44">
    <w:p w14:paraId="4D56389B" w14:textId="5166C325" w:rsidR="0000505E" w:rsidRDefault="0000505E">
      <w:pPr>
        <w:pStyle w:val="FootnoteText"/>
      </w:pPr>
      <w:r>
        <w:rPr>
          <w:rStyle w:val="FootnoteReference"/>
        </w:rPr>
        <w:footnoteRef/>
      </w:r>
      <w:r>
        <w:t xml:space="preserve"> Mrs Stephens’ at </w:t>
      </w:r>
      <w:r w:rsidR="00434D60">
        <w:t>3.5</w:t>
      </w:r>
    </w:p>
  </w:footnote>
  <w:footnote w:id="45">
    <w:p w14:paraId="24D99C5F" w14:textId="643445C7" w:rsidR="00D04610" w:rsidRDefault="00D04610">
      <w:pPr>
        <w:pStyle w:val="FootnoteText"/>
      </w:pPr>
      <w:r>
        <w:rPr>
          <w:rStyle w:val="FootnoteReference"/>
        </w:rPr>
        <w:footnoteRef/>
      </w:r>
      <w:r>
        <w:t xml:space="preserve"> XX GW by reference to NPPF 61. </w:t>
      </w:r>
    </w:p>
  </w:footnote>
  <w:footnote w:id="46">
    <w:p w14:paraId="261C3D2F" w14:textId="425DD6DD" w:rsidR="00B85771" w:rsidRDefault="00B85771">
      <w:pPr>
        <w:pStyle w:val="FootnoteText"/>
      </w:pPr>
      <w:r>
        <w:rPr>
          <w:rStyle w:val="FootnoteReference"/>
        </w:rPr>
        <w:footnoteRef/>
      </w:r>
      <w:r>
        <w:t xml:space="preserve"> See SoCG at 7.28</w:t>
      </w:r>
    </w:p>
  </w:footnote>
  <w:footnote w:id="47">
    <w:p w14:paraId="0B9F1C74" w14:textId="1D6158D0" w:rsidR="005C33F8" w:rsidRDefault="005C33F8">
      <w:pPr>
        <w:pStyle w:val="FootnoteText"/>
      </w:pPr>
      <w:r>
        <w:rPr>
          <w:rStyle w:val="FootnoteReference"/>
        </w:rPr>
        <w:footnoteRef/>
      </w:r>
      <w:r>
        <w:t xml:space="preserve"> LS in the round table session</w:t>
      </w:r>
      <w:r w:rsidR="00CB6919">
        <w:t xml:space="preserve"> by reference to</w:t>
      </w:r>
      <w:r w:rsidR="001D63B3">
        <w:t xml:space="preserve"> the Stock Increase Programme – see CD4.10.2.8</w:t>
      </w:r>
      <w:r w:rsidR="00166E7B">
        <w:t xml:space="preserve"> at 3.26 and 3.28</w:t>
      </w:r>
    </w:p>
  </w:footnote>
  <w:footnote w:id="48">
    <w:p w14:paraId="637B5EEB" w14:textId="101003BA" w:rsidR="009D54B3" w:rsidRDefault="009D54B3">
      <w:pPr>
        <w:pStyle w:val="FootnoteText"/>
      </w:pPr>
      <w:r>
        <w:rPr>
          <w:rStyle w:val="FootnoteReference"/>
        </w:rPr>
        <w:footnoteRef/>
      </w:r>
      <w:r>
        <w:t xml:space="preserve"> NPPF 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2926"/>
    <w:multiLevelType w:val="hybridMultilevel"/>
    <w:tmpl w:val="44F6F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75E8F"/>
    <w:multiLevelType w:val="hybridMultilevel"/>
    <w:tmpl w:val="84BCAFD4"/>
    <w:lvl w:ilvl="0" w:tplc="D66C79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C251E4B"/>
    <w:multiLevelType w:val="hybridMultilevel"/>
    <w:tmpl w:val="BAA8719C"/>
    <w:lvl w:ilvl="0" w:tplc="50681F58">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1D94036"/>
    <w:multiLevelType w:val="hybridMultilevel"/>
    <w:tmpl w:val="5A9CAE0A"/>
    <w:lvl w:ilvl="0" w:tplc="D75C77E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7A21166"/>
    <w:multiLevelType w:val="hybridMultilevel"/>
    <w:tmpl w:val="E8C6BB7E"/>
    <w:lvl w:ilvl="0" w:tplc="0E869A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5E518E0"/>
    <w:multiLevelType w:val="hybridMultilevel"/>
    <w:tmpl w:val="55E25A3E"/>
    <w:lvl w:ilvl="0" w:tplc="BE903E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91"/>
    <w:rsid w:val="0000226D"/>
    <w:rsid w:val="000047E4"/>
    <w:rsid w:val="000048C4"/>
    <w:rsid w:val="0000505E"/>
    <w:rsid w:val="00006702"/>
    <w:rsid w:val="000115A2"/>
    <w:rsid w:val="00015031"/>
    <w:rsid w:val="000163E5"/>
    <w:rsid w:val="000254F0"/>
    <w:rsid w:val="00027BB0"/>
    <w:rsid w:val="00027E34"/>
    <w:rsid w:val="00034AB1"/>
    <w:rsid w:val="00046770"/>
    <w:rsid w:val="000533BC"/>
    <w:rsid w:val="00056238"/>
    <w:rsid w:val="000611D7"/>
    <w:rsid w:val="00062408"/>
    <w:rsid w:val="00064F71"/>
    <w:rsid w:val="000668AF"/>
    <w:rsid w:val="00067C5E"/>
    <w:rsid w:val="000728C4"/>
    <w:rsid w:val="00076FE1"/>
    <w:rsid w:val="0008161E"/>
    <w:rsid w:val="000907B8"/>
    <w:rsid w:val="00090BDC"/>
    <w:rsid w:val="000916F1"/>
    <w:rsid w:val="00093B2B"/>
    <w:rsid w:val="00093D7A"/>
    <w:rsid w:val="00095E2F"/>
    <w:rsid w:val="000A0B88"/>
    <w:rsid w:val="000A2927"/>
    <w:rsid w:val="000A644D"/>
    <w:rsid w:val="000B1A98"/>
    <w:rsid w:val="000B2F0A"/>
    <w:rsid w:val="000C4DCB"/>
    <w:rsid w:val="000D113D"/>
    <w:rsid w:val="000D2107"/>
    <w:rsid w:val="000D4A83"/>
    <w:rsid w:val="000E3334"/>
    <w:rsid w:val="000E3A95"/>
    <w:rsid w:val="000E4B6F"/>
    <w:rsid w:val="000F0A44"/>
    <w:rsid w:val="000F4DF2"/>
    <w:rsid w:val="00104A97"/>
    <w:rsid w:val="001121FC"/>
    <w:rsid w:val="001138AD"/>
    <w:rsid w:val="00120F2A"/>
    <w:rsid w:val="00135318"/>
    <w:rsid w:val="0014183D"/>
    <w:rsid w:val="00143216"/>
    <w:rsid w:val="00145E7E"/>
    <w:rsid w:val="00146CEF"/>
    <w:rsid w:val="00155EFB"/>
    <w:rsid w:val="00160A4C"/>
    <w:rsid w:val="00160DAF"/>
    <w:rsid w:val="00162130"/>
    <w:rsid w:val="00163554"/>
    <w:rsid w:val="00165669"/>
    <w:rsid w:val="00165B01"/>
    <w:rsid w:val="00166E7B"/>
    <w:rsid w:val="0017068C"/>
    <w:rsid w:val="001718DE"/>
    <w:rsid w:val="00173606"/>
    <w:rsid w:val="001743C9"/>
    <w:rsid w:val="001753B1"/>
    <w:rsid w:val="00175F98"/>
    <w:rsid w:val="00176605"/>
    <w:rsid w:val="001808D9"/>
    <w:rsid w:val="00182C5A"/>
    <w:rsid w:val="0018338C"/>
    <w:rsid w:val="00193F90"/>
    <w:rsid w:val="001965B3"/>
    <w:rsid w:val="00197A20"/>
    <w:rsid w:val="001A321B"/>
    <w:rsid w:val="001A40B3"/>
    <w:rsid w:val="001B0655"/>
    <w:rsid w:val="001B1016"/>
    <w:rsid w:val="001B1BA8"/>
    <w:rsid w:val="001B452D"/>
    <w:rsid w:val="001C795E"/>
    <w:rsid w:val="001D2570"/>
    <w:rsid w:val="001D4B9B"/>
    <w:rsid w:val="001D63B3"/>
    <w:rsid w:val="001D71FC"/>
    <w:rsid w:val="001D7E2D"/>
    <w:rsid w:val="001E119E"/>
    <w:rsid w:val="001E425B"/>
    <w:rsid w:val="001E7D8B"/>
    <w:rsid w:val="001F22F5"/>
    <w:rsid w:val="001F256A"/>
    <w:rsid w:val="001F6F2B"/>
    <w:rsid w:val="0020002A"/>
    <w:rsid w:val="0020038F"/>
    <w:rsid w:val="00202A83"/>
    <w:rsid w:val="00202FA4"/>
    <w:rsid w:val="00203F98"/>
    <w:rsid w:val="0020486E"/>
    <w:rsid w:val="00205581"/>
    <w:rsid w:val="00210ED6"/>
    <w:rsid w:val="0021202F"/>
    <w:rsid w:val="00216298"/>
    <w:rsid w:val="002243B8"/>
    <w:rsid w:val="00226F1D"/>
    <w:rsid w:val="00236209"/>
    <w:rsid w:val="002424CB"/>
    <w:rsid w:val="002452B8"/>
    <w:rsid w:val="002467F1"/>
    <w:rsid w:val="0025277E"/>
    <w:rsid w:val="0025708B"/>
    <w:rsid w:val="00257843"/>
    <w:rsid w:val="00260A00"/>
    <w:rsid w:val="00261645"/>
    <w:rsid w:val="002625FD"/>
    <w:rsid w:val="00270FA4"/>
    <w:rsid w:val="00271224"/>
    <w:rsid w:val="002722B2"/>
    <w:rsid w:val="0027410F"/>
    <w:rsid w:val="00274517"/>
    <w:rsid w:val="00281450"/>
    <w:rsid w:val="00286C17"/>
    <w:rsid w:val="00292DEE"/>
    <w:rsid w:val="00294892"/>
    <w:rsid w:val="00295F50"/>
    <w:rsid w:val="002A1678"/>
    <w:rsid w:val="002A16AE"/>
    <w:rsid w:val="002A7E6A"/>
    <w:rsid w:val="002A7F17"/>
    <w:rsid w:val="002B30A3"/>
    <w:rsid w:val="002B732A"/>
    <w:rsid w:val="002B7D8A"/>
    <w:rsid w:val="002C0718"/>
    <w:rsid w:val="002C2960"/>
    <w:rsid w:val="002C2D34"/>
    <w:rsid w:val="002C4949"/>
    <w:rsid w:val="002C5CAC"/>
    <w:rsid w:val="002D0F3C"/>
    <w:rsid w:val="002E02F8"/>
    <w:rsid w:val="002E2CE5"/>
    <w:rsid w:val="002E39A9"/>
    <w:rsid w:val="002E4149"/>
    <w:rsid w:val="002F2BC8"/>
    <w:rsid w:val="002F79B9"/>
    <w:rsid w:val="003049AB"/>
    <w:rsid w:val="00312D3B"/>
    <w:rsid w:val="003142E7"/>
    <w:rsid w:val="00315CEA"/>
    <w:rsid w:val="00322D98"/>
    <w:rsid w:val="0032454A"/>
    <w:rsid w:val="00324A52"/>
    <w:rsid w:val="00326F0B"/>
    <w:rsid w:val="0032767E"/>
    <w:rsid w:val="00331B87"/>
    <w:rsid w:val="00335C1C"/>
    <w:rsid w:val="00340A91"/>
    <w:rsid w:val="0034384C"/>
    <w:rsid w:val="003558C0"/>
    <w:rsid w:val="003612D3"/>
    <w:rsid w:val="00363FEC"/>
    <w:rsid w:val="00366453"/>
    <w:rsid w:val="00366CEF"/>
    <w:rsid w:val="00371763"/>
    <w:rsid w:val="003724BA"/>
    <w:rsid w:val="00374E0F"/>
    <w:rsid w:val="003756B3"/>
    <w:rsid w:val="0037758F"/>
    <w:rsid w:val="00382AF6"/>
    <w:rsid w:val="00383D4E"/>
    <w:rsid w:val="0038622E"/>
    <w:rsid w:val="00396A54"/>
    <w:rsid w:val="00397B4E"/>
    <w:rsid w:val="003A4FB5"/>
    <w:rsid w:val="003A77FA"/>
    <w:rsid w:val="003A7F89"/>
    <w:rsid w:val="003B044C"/>
    <w:rsid w:val="003B1D03"/>
    <w:rsid w:val="003B279D"/>
    <w:rsid w:val="003B4983"/>
    <w:rsid w:val="003C0019"/>
    <w:rsid w:val="003C0DD5"/>
    <w:rsid w:val="003C6777"/>
    <w:rsid w:val="003D17B6"/>
    <w:rsid w:val="003D5D4B"/>
    <w:rsid w:val="003D7F2A"/>
    <w:rsid w:val="003E4751"/>
    <w:rsid w:val="003E4FE5"/>
    <w:rsid w:val="003E5BD6"/>
    <w:rsid w:val="003F0998"/>
    <w:rsid w:val="003F1D39"/>
    <w:rsid w:val="003F26C2"/>
    <w:rsid w:val="003F30B5"/>
    <w:rsid w:val="00410417"/>
    <w:rsid w:val="00410FCB"/>
    <w:rsid w:val="00421C64"/>
    <w:rsid w:val="00421CC1"/>
    <w:rsid w:val="00422746"/>
    <w:rsid w:val="00430423"/>
    <w:rsid w:val="0043202F"/>
    <w:rsid w:val="00434D60"/>
    <w:rsid w:val="00437B63"/>
    <w:rsid w:val="00444A96"/>
    <w:rsid w:val="0045172D"/>
    <w:rsid w:val="00453B80"/>
    <w:rsid w:val="00457961"/>
    <w:rsid w:val="00461137"/>
    <w:rsid w:val="00465D73"/>
    <w:rsid w:val="00466059"/>
    <w:rsid w:val="00470244"/>
    <w:rsid w:val="004768D1"/>
    <w:rsid w:val="00480780"/>
    <w:rsid w:val="00483033"/>
    <w:rsid w:val="0048445C"/>
    <w:rsid w:val="00491340"/>
    <w:rsid w:val="004A1C7F"/>
    <w:rsid w:val="004A409E"/>
    <w:rsid w:val="004A6C7B"/>
    <w:rsid w:val="004B0413"/>
    <w:rsid w:val="004B23E8"/>
    <w:rsid w:val="004B346F"/>
    <w:rsid w:val="004B5418"/>
    <w:rsid w:val="004B6CEF"/>
    <w:rsid w:val="004B7849"/>
    <w:rsid w:val="004C0836"/>
    <w:rsid w:val="004C37D0"/>
    <w:rsid w:val="004C7192"/>
    <w:rsid w:val="004C74C0"/>
    <w:rsid w:val="004D03B8"/>
    <w:rsid w:val="004D064F"/>
    <w:rsid w:val="004D48DE"/>
    <w:rsid w:val="004D6290"/>
    <w:rsid w:val="004F2E01"/>
    <w:rsid w:val="00502218"/>
    <w:rsid w:val="00502C53"/>
    <w:rsid w:val="00506238"/>
    <w:rsid w:val="005076D2"/>
    <w:rsid w:val="005105E1"/>
    <w:rsid w:val="00515947"/>
    <w:rsid w:val="00516991"/>
    <w:rsid w:val="00516BDE"/>
    <w:rsid w:val="00516E78"/>
    <w:rsid w:val="00527DA9"/>
    <w:rsid w:val="0053203B"/>
    <w:rsid w:val="005361A8"/>
    <w:rsid w:val="005365BE"/>
    <w:rsid w:val="0054025D"/>
    <w:rsid w:val="005427F5"/>
    <w:rsid w:val="00543A56"/>
    <w:rsid w:val="005443DD"/>
    <w:rsid w:val="005512CA"/>
    <w:rsid w:val="00551646"/>
    <w:rsid w:val="00557503"/>
    <w:rsid w:val="00557E8C"/>
    <w:rsid w:val="005632D7"/>
    <w:rsid w:val="005636E5"/>
    <w:rsid w:val="00564AD4"/>
    <w:rsid w:val="00565603"/>
    <w:rsid w:val="00565E31"/>
    <w:rsid w:val="00573549"/>
    <w:rsid w:val="0057390B"/>
    <w:rsid w:val="005808B1"/>
    <w:rsid w:val="00585657"/>
    <w:rsid w:val="0058570B"/>
    <w:rsid w:val="00594F52"/>
    <w:rsid w:val="005A34CC"/>
    <w:rsid w:val="005A719A"/>
    <w:rsid w:val="005B1B26"/>
    <w:rsid w:val="005B691B"/>
    <w:rsid w:val="005C02E0"/>
    <w:rsid w:val="005C0672"/>
    <w:rsid w:val="005C3195"/>
    <w:rsid w:val="005C33F8"/>
    <w:rsid w:val="005D1661"/>
    <w:rsid w:val="005D2571"/>
    <w:rsid w:val="005D3074"/>
    <w:rsid w:val="005D4502"/>
    <w:rsid w:val="005D5519"/>
    <w:rsid w:val="005D72B8"/>
    <w:rsid w:val="005E49C5"/>
    <w:rsid w:val="005F0B1C"/>
    <w:rsid w:val="005F12F1"/>
    <w:rsid w:val="005F2B4D"/>
    <w:rsid w:val="005F4844"/>
    <w:rsid w:val="00607940"/>
    <w:rsid w:val="0061094A"/>
    <w:rsid w:val="00615461"/>
    <w:rsid w:val="00620CA1"/>
    <w:rsid w:val="0062281F"/>
    <w:rsid w:val="00626F63"/>
    <w:rsid w:val="006303A2"/>
    <w:rsid w:val="00633207"/>
    <w:rsid w:val="00634B29"/>
    <w:rsid w:val="00635F95"/>
    <w:rsid w:val="00641BB3"/>
    <w:rsid w:val="00642D4D"/>
    <w:rsid w:val="00642F81"/>
    <w:rsid w:val="006465B6"/>
    <w:rsid w:val="00646D40"/>
    <w:rsid w:val="006478C2"/>
    <w:rsid w:val="00650C46"/>
    <w:rsid w:val="0065187A"/>
    <w:rsid w:val="00653465"/>
    <w:rsid w:val="006549E5"/>
    <w:rsid w:val="00654A26"/>
    <w:rsid w:val="00656EB2"/>
    <w:rsid w:val="00663825"/>
    <w:rsid w:val="00665626"/>
    <w:rsid w:val="0067233A"/>
    <w:rsid w:val="006729CC"/>
    <w:rsid w:val="00674019"/>
    <w:rsid w:val="00676455"/>
    <w:rsid w:val="00687831"/>
    <w:rsid w:val="00687ABF"/>
    <w:rsid w:val="00691191"/>
    <w:rsid w:val="00691D87"/>
    <w:rsid w:val="00693442"/>
    <w:rsid w:val="0069366D"/>
    <w:rsid w:val="006941CF"/>
    <w:rsid w:val="00694479"/>
    <w:rsid w:val="00696208"/>
    <w:rsid w:val="006A0D78"/>
    <w:rsid w:val="006A173E"/>
    <w:rsid w:val="006A2A65"/>
    <w:rsid w:val="006B0E5C"/>
    <w:rsid w:val="006B3BB4"/>
    <w:rsid w:val="006C36EB"/>
    <w:rsid w:val="006C4CEB"/>
    <w:rsid w:val="006C5A02"/>
    <w:rsid w:val="006C5D24"/>
    <w:rsid w:val="006C6C5F"/>
    <w:rsid w:val="006D244A"/>
    <w:rsid w:val="006D5E39"/>
    <w:rsid w:val="006E43F9"/>
    <w:rsid w:val="006E7F78"/>
    <w:rsid w:val="006F0807"/>
    <w:rsid w:val="006F15FC"/>
    <w:rsid w:val="006F74C4"/>
    <w:rsid w:val="00700280"/>
    <w:rsid w:val="00704857"/>
    <w:rsid w:val="007057B3"/>
    <w:rsid w:val="00710F36"/>
    <w:rsid w:val="00712222"/>
    <w:rsid w:val="007136FC"/>
    <w:rsid w:val="00715271"/>
    <w:rsid w:val="0072445F"/>
    <w:rsid w:val="00724664"/>
    <w:rsid w:val="007263C9"/>
    <w:rsid w:val="007271CE"/>
    <w:rsid w:val="00727915"/>
    <w:rsid w:val="00733949"/>
    <w:rsid w:val="00734B7E"/>
    <w:rsid w:val="007369BA"/>
    <w:rsid w:val="00737526"/>
    <w:rsid w:val="00737DFB"/>
    <w:rsid w:val="00741982"/>
    <w:rsid w:val="00746744"/>
    <w:rsid w:val="0074775C"/>
    <w:rsid w:val="007526C8"/>
    <w:rsid w:val="00757763"/>
    <w:rsid w:val="007631DA"/>
    <w:rsid w:val="00764FB9"/>
    <w:rsid w:val="00765A95"/>
    <w:rsid w:val="007676FA"/>
    <w:rsid w:val="00770D73"/>
    <w:rsid w:val="007710BD"/>
    <w:rsid w:val="00774821"/>
    <w:rsid w:val="00775CDD"/>
    <w:rsid w:val="007777C9"/>
    <w:rsid w:val="007920ED"/>
    <w:rsid w:val="00794418"/>
    <w:rsid w:val="007A0B87"/>
    <w:rsid w:val="007A1DC3"/>
    <w:rsid w:val="007A3CD6"/>
    <w:rsid w:val="007A3EE6"/>
    <w:rsid w:val="007A4AA3"/>
    <w:rsid w:val="007A7A77"/>
    <w:rsid w:val="007B765C"/>
    <w:rsid w:val="007B7B54"/>
    <w:rsid w:val="007C031A"/>
    <w:rsid w:val="007C3A45"/>
    <w:rsid w:val="007C40AE"/>
    <w:rsid w:val="007C575F"/>
    <w:rsid w:val="007D1931"/>
    <w:rsid w:val="007D31AA"/>
    <w:rsid w:val="007D592B"/>
    <w:rsid w:val="007E0C76"/>
    <w:rsid w:val="007E1F75"/>
    <w:rsid w:val="007E58AB"/>
    <w:rsid w:val="007F0AFE"/>
    <w:rsid w:val="00800F23"/>
    <w:rsid w:val="008035A5"/>
    <w:rsid w:val="00803C3A"/>
    <w:rsid w:val="00807FF6"/>
    <w:rsid w:val="00810F1B"/>
    <w:rsid w:val="00815B64"/>
    <w:rsid w:val="00815B7E"/>
    <w:rsid w:val="008175E4"/>
    <w:rsid w:val="0082043A"/>
    <w:rsid w:val="0082410C"/>
    <w:rsid w:val="00826865"/>
    <w:rsid w:val="00834BCC"/>
    <w:rsid w:val="00836B7D"/>
    <w:rsid w:val="00836BC6"/>
    <w:rsid w:val="008424B5"/>
    <w:rsid w:val="00844EB3"/>
    <w:rsid w:val="0085013E"/>
    <w:rsid w:val="00854336"/>
    <w:rsid w:val="008565A1"/>
    <w:rsid w:val="00864453"/>
    <w:rsid w:val="00873A1D"/>
    <w:rsid w:val="00881D3A"/>
    <w:rsid w:val="0088454D"/>
    <w:rsid w:val="00887947"/>
    <w:rsid w:val="00890C03"/>
    <w:rsid w:val="008A2F30"/>
    <w:rsid w:val="008A34AD"/>
    <w:rsid w:val="008A541E"/>
    <w:rsid w:val="008A7723"/>
    <w:rsid w:val="008B01AA"/>
    <w:rsid w:val="008B1F5F"/>
    <w:rsid w:val="008B48AE"/>
    <w:rsid w:val="008C2A44"/>
    <w:rsid w:val="008C551B"/>
    <w:rsid w:val="008D13B9"/>
    <w:rsid w:val="008D414E"/>
    <w:rsid w:val="008D47C9"/>
    <w:rsid w:val="008D601C"/>
    <w:rsid w:val="008E1BA8"/>
    <w:rsid w:val="008E54D5"/>
    <w:rsid w:val="008E5A24"/>
    <w:rsid w:val="008E62DD"/>
    <w:rsid w:val="008E655F"/>
    <w:rsid w:val="008E7A91"/>
    <w:rsid w:val="0090050D"/>
    <w:rsid w:val="009043C1"/>
    <w:rsid w:val="00915B54"/>
    <w:rsid w:val="00916864"/>
    <w:rsid w:val="00923100"/>
    <w:rsid w:val="009236A2"/>
    <w:rsid w:val="009253F2"/>
    <w:rsid w:val="009301C0"/>
    <w:rsid w:val="00937D9C"/>
    <w:rsid w:val="00940011"/>
    <w:rsid w:val="00941EA1"/>
    <w:rsid w:val="00946FB9"/>
    <w:rsid w:val="00950E4E"/>
    <w:rsid w:val="009518E8"/>
    <w:rsid w:val="00952716"/>
    <w:rsid w:val="00952F75"/>
    <w:rsid w:val="00960175"/>
    <w:rsid w:val="00971AEC"/>
    <w:rsid w:val="00971D8C"/>
    <w:rsid w:val="009723FA"/>
    <w:rsid w:val="00973553"/>
    <w:rsid w:val="00976EA0"/>
    <w:rsid w:val="00977FCC"/>
    <w:rsid w:val="009800A8"/>
    <w:rsid w:val="00981BBC"/>
    <w:rsid w:val="0098267E"/>
    <w:rsid w:val="00982EEC"/>
    <w:rsid w:val="009834EF"/>
    <w:rsid w:val="00984571"/>
    <w:rsid w:val="00985EB6"/>
    <w:rsid w:val="00987298"/>
    <w:rsid w:val="00995925"/>
    <w:rsid w:val="00996A1D"/>
    <w:rsid w:val="00997447"/>
    <w:rsid w:val="009A4D6A"/>
    <w:rsid w:val="009B2194"/>
    <w:rsid w:val="009B4584"/>
    <w:rsid w:val="009C00F7"/>
    <w:rsid w:val="009C4A01"/>
    <w:rsid w:val="009D54B3"/>
    <w:rsid w:val="009D71FB"/>
    <w:rsid w:val="009E6544"/>
    <w:rsid w:val="009E6A9E"/>
    <w:rsid w:val="009F0175"/>
    <w:rsid w:val="009F3FFE"/>
    <w:rsid w:val="00A012FB"/>
    <w:rsid w:val="00A06FF0"/>
    <w:rsid w:val="00A10A91"/>
    <w:rsid w:val="00A1389E"/>
    <w:rsid w:val="00A13ECD"/>
    <w:rsid w:val="00A14C85"/>
    <w:rsid w:val="00A21EB9"/>
    <w:rsid w:val="00A2471D"/>
    <w:rsid w:val="00A24C12"/>
    <w:rsid w:val="00A2611B"/>
    <w:rsid w:val="00A2669A"/>
    <w:rsid w:val="00A327FD"/>
    <w:rsid w:val="00A32EA6"/>
    <w:rsid w:val="00A340FE"/>
    <w:rsid w:val="00A34750"/>
    <w:rsid w:val="00A409BB"/>
    <w:rsid w:val="00A410FA"/>
    <w:rsid w:val="00A43A16"/>
    <w:rsid w:val="00A51015"/>
    <w:rsid w:val="00A54A98"/>
    <w:rsid w:val="00A6591A"/>
    <w:rsid w:val="00A676F1"/>
    <w:rsid w:val="00A7234B"/>
    <w:rsid w:val="00A72DCC"/>
    <w:rsid w:val="00A74C5E"/>
    <w:rsid w:val="00A81759"/>
    <w:rsid w:val="00A85A9E"/>
    <w:rsid w:val="00A9055E"/>
    <w:rsid w:val="00A92DAF"/>
    <w:rsid w:val="00A94095"/>
    <w:rsid w:val="00A94429"/>
    <w:rsid w:val="00A947A2"/>
    <w:rsid w:val="00A95D7E"/>
    <w:rsid w:val="00AA34D3"/>
    <w:rsid w:val="00AA3BF1"/>
    <w:rsid w:val="00AA4884"/>
    <w:rsid w:val="00AA692A"/>
    <w:rsid w:val="00AB32E2"/>
    <w:rsid w:val="00AC7BA2"/>
    <w:rsid w:val="00AD09F5"/>
    <w:rsid w:val="00AD0E92"/>
    <w:rsid w:val="00AD7409"/>
    <w:rsid w:val="00AD793C"/>
    <w:rsid w:val="00AE2AEA"/>
    <w:rsid w:val="00AF210F"/>
    <w:rsid w:val="00AF320C"/>
    <w:rsid w:val="00B00F5C"/>
    <w:rsid w:val="00B028AB"/>
    <w:rsid w:val="00B048DA"/>
    <w:rsid w:val="00B0518D"/>
    <w:rsid w:val="00B0568C"/>
    <w:rsid w:val="00B05891"/>
    <w:rsid w:val="00B12749"/>
    <w:rsid w:val="00B1682E"/>
    <w:rsid w:val="00B16D3C"/>
    <w:rsid w:val="00B23224"/>
    <w:rsid w:val="00B304B6"/>
    <w:rsid w:val="00B3128C"/>
    <w:rsid w:val="00B31D4A"/>
    <w:rsid w:val="00B3361C"/>
    <w:rsid w:val="00B50D3A"/>
    <w:rsid w:val="00B54C6A"/>
    <w:rsid w:val="00B553E4"/>
    <w:rsid w:val="00B60325"/>
    <w:rsid w:val="00B60B09"/>
    <w:rsid w:val="00B644CF"/>
    <w:rsid w:val="00B708C2"/>
    <w:rsid w:val="00B70CF8"/>
    <w:rsid w:val="00B73C9B"/>
    <w:rsid w:val="00B752E3"/>
    <w:rsid w:val="00B80B9A"/>
    <w:rsid w:val="00B80D37"/>
    <w:rsid w:val="00B84333"/>
    <w:rsid w:val="00B85771"/>
    <w:rsid w:val="00B935BF"/>
    <w:rsid w:val="00B93909"/>
    <w:rsid w:val="00B971E7"/>
    <w:rsid w:val="00BA0880"/>
    <w:rsid w:val="00BA2B7F"/>
    <w:rsid w:val="00BA75FE"/>
    <w:rsid w:val="00BB17EB"/>
    <w:rsid w:val="00BB27E4"/>
    <w:rsid w:val="00BB3DD2"/>
    <w:rsid w:val="00BC1E19"/>
    <w:rsid w:val="00BD0A44"/>
    <w:rsid w:val="00BD1D2A"/>
    <w:rsid w:val="00BD36A2"/>
    <w:rsid w:val="00BD41A9"/>
    <w:rsid w:val="00BE0661"/>
    <w:rsid w:val="00BE2C92"/>
    <w:rsid w:val="00BF11B8"/>
    <w:rsid w:val="00BF317D"/>
    <w:rsid w:val="00BF4EE0"/>
    <w:rsid w:val="00BF59B5"/>
    <w:rsid w:val="00BF65E3"/>
    <w:rsid w:val="00C00DE2"/>
    <w:rsid w:val="00C06075"/>
    <w:rsid w:val="00C10164"/>
    <w:rsid w:val="00C10DA7"/>
    <w:rsid w:val="00C13F8B"/>
    <w:rsid w:val="00C14846"/>
    <w:rsid w:val="00C149F1"/>
    <w:rsid w:val="00C26F16"/>
    <w:rsid w:val="00C31660"/>
    <w:rsid w:val="00C316AA"/>
    <w:rsid w:val="00C42252"/>
    <w:rsid w:val="00C51669"/>
    <w:rsid w:val="00C51C6F"/>
    <w:rsid w:val="00C57EB8"/>
    <w:rsid w:val="00C629C5"/>
    <w:rsid w:val="00C6425A"/>
    <w:rsid w:val="00C6575D"/>
    <w:rsid w:val="00C66C98"/>
    <w:rsid w:val="00C66E56"/>
    <w:rsid w:val="00C75A2F"/>
    <w:rsid w:val="00C82778"/>
    <w:rsid w:val="00C95598"/>
    <w:rsid w:val="00CA0ECD"/>
    <w:rsid w:val="00CA7A09"/>
    <w:rsid w:val="00CB0D51"/>
    <w:rsid w:val="00CB1100"/>
    <w:rsid w:val="00CB6919"/>
    <w:rsid w:val="00CC10F9"/>
    <w:rsid w:val="00CC154B"/>
    <w:rsid w:val="00CC2095"/>
    <w:rsid w:val="00CC44FB"/>
    <w:rsid w:val="00CC5B7D"/>
    <w:rsid w:val="00CD1D7B"/>
    <w:rsid w:val="00CD5787"/>
    <w:rsid w:val="00CF4E64"/>
    <w:rsid w:val="00CF5142"/>
    <w:rsid w:val="00D01A66"/>
    <w:rsid w:val="00D04610"/>
    <w:rsid w:val="00D07988"/>
    <w:rsid w:val="00D26378"/>
    <w:rsid w:val="00D32B40"/>
    <w:rsid w:val="00D33926"/>
    <w:rsid w:val="00D36167"/>
    <w:rsid w:val="00D42717"/>
    <w:rsid w:val="00D46DFA"/>
    <w:rsid w:val="00D47570"/>
    <w:rsid w:val="00D47806"/>
    <w:rsid w:val="00D5406C"/>
    <w:rsid w:val="00D57830"/>
    <w:rsid w:val="00D71B7D"/>
    <w:rsid w:val="00D727C2"/>
    <w:rsid w:val="00D74E74"/>
    <w:rsid w:val="00D80EE8"/>
    <w:rsid w:val="00D82FA3"/>
    <w:rsid w:val="00D835E1"/>
    <w:rsid w:val="00D90FF0"/>
    <w:rsid w:val="00D915B3"/>
    <w:rsid w:val="00D91DC1"/>
    <w:rsid w:val="00D92B78"/>
    <w:rsid w:val="00D9647B"/>
    <w:rsid w:val="00DA27C9"/>
    <w:rsid w:val="00DA2FA9"/>
    <w:rsid w:val="00DA48CC"/>
    <w:rsid w:val="00DA5707"/>
    <w:rsid w:val="00DA7C9E"/>
    <w:rsid w:val="00DB2D92"/>
    <w:rsid w:val="00DB48D8"/>
    <w:rsid w:val="00DC311B"/>
    <w:rsid w:val="00DD198B"/>
    <w:rsid w:val="00DD3231"/>
    <w:rsid w:val="00DF0048"/>
    <w:rsid w:val="00DF361A"/>
    <w:rsid w:val="00DF533D"/>
    <w:rsid w:val="00E037E8"/>
    <w:rsid w:val="00E03C8F"/>
    <w:rsid w:val="00E1050A"/>
    <w:rsid w:val="00E124D4"/>
    <w:rsid w:val="00E152D3"/>
    <w:rsid w:val="00E209C4"/>
    <w:rsid w:val="00E20FF7"/>
    <w:rsid w:val="00E22B9A"/>
    <w:rsid w:val="00E23D27"/>
    <w:rsid w:val="00E26F95"/>
    <w:rsid w:val="00E30AE6"/>
    <w:rsid w:val="00E339A2"/>
    <w:rsid w:val="00E368C2"/>
    <w:rsid w:val="00E36B76"/>
    <w:rsid w:val="00E36F9C"/>
    <w:rsid w:val="00E47447"/>
    <w:rsid w:val="00E52A11"/>
    <w:rsid w:val="00E53B60"/>
    <w:rsid w:val="00E6079D"/>
    <w:rsid w:val="00E60ADE"/>
    <w:rsid w:val="00E61B52"/>
    <w:rsid w:val="00E7113D"/>
    <w:rsid w:val="00E87D49"/>
    <w:rsid w:val="00E90533"/>
    <w:rsid w:val="00E90C7D"/>
    <w:rsid w:val="00E93975"/>
    <w:rsid w:val="00EA2795"/>
    <w:rsid w:val="00EA2B17"/>
    <w:rsid w:val="00EA2B69"/>
    <w:rsid w:val="00EA568E"/>
    <w:rsid w:val="00EA57B7"/>
    <w:rsid w:val="00EB5242"/>
    <w:rsid w:val="00EC5712"/>
    <w:rsid w:val="00ED322D"/>
    <w:rsid w:val="00EE1BAB"/>
    <w:rsid w:val="00EE2136"/>
    <w:rsid w:val="00EE4E7E"/>
    <w:rsid w:val="00EE62B9"/>
    <w:rsid w:val="00EE7D12"/>
    <w:rsid w:val="00EF0E81"/>
    <w:rsid w:val="00EF23F0"/>
    <w:rsid w:val="00EF4FAE"/>
    <w:rsid w:val="00EF78D1"/>
    <w:rsid w:val="00F0071F"/>
    <w:rsid w:val="00F00E67"/>
    <w:rsid w:val="00F06282"/>
    <w:rsid w:val="00F113FF"/>
    <w:rsid w:val="00F1263C"/>
    <w:rsid w:val="00F12AA6"/>
    <w:rsid w:val="00F12FC2"/>
    <w:rsid w:val="00F174CB"/>
    <w:rsid w:val="00F176DB"/>
    <w:rsid w:val="00F22C2F"/>
    <w:rsid w:val="00F24FE4"/>
    <w:rsid w:val="00F279DB"/>
    <w:rsid w:val="00F3100D"/>
    <w:rsid w:val="00F322A6"/>
    <w:rsid w:val="00F36128"/>
    <w:rsid w:val="00F42EA3"/>
    <w:rsid w:val="00F44252"/>
    <w:rsid w:val="00F45878"/>
    <w:rsid w:val="00F46360"/>
    <w:rsid w:val="00F471F9"/>
    <w:rsid w:val="00F477C6"/>
    <w:rsid w:val="00F60EB3"/>
    <w:rsid w:val="00F61016"/>
    <w:rsid w:val="00F62755"/>
    <w:rsid w:val="00F668D5"/>
    <w:rsid w:val="00F704BE"/>
    <w:rsid w:val="00F71665"/>
    <w:rsid w:val="00F767A8"/>
    <w:rsid w:val="00F80EB3"/>
    <w:rsid w:val="00F85648"/>
    <w:rsid w:val="00F87738"/>
    <w:rsid w:val="00F958FD"/>
    <w:rsid w:val="00FA2524"/>
    <w:rsid w:val="00FA743B"/>
    <w:rsid w:val="00FB65B8"/>
    <w:rsid w:val="00FC3218"/>
    <w:rsid w:val="00FC60D5"/>
    <w:rsid w:val="00FD1360"/>
    <w:rsid w:val="00FD720C"/>
    <w:rsid w:val="00FD7DB0"/>
    <w:rsid w:val="00FE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C95F"/>
  <w15:chartTrackingRefBased/>
  <w15:docId w15:val="{34D4B6F9-03CD-44EE-815A-C0048396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891"/>
    <w:pPr>
      <w:ind w:left="720"/>
      <w:contextualSpacing/>
    </w:pPr>
  </w:style>
  <w:style w:type="paragraph" w:styleId="FootnoteText">
    <w:name w:val="footnote text"/>
    <w:basedOn w:val="Normal"/>
    <w:link w:val="FootnoteTextChar"/>
    <w:uiPriority w:val="99"/>
    <w:semiHidden/>
    <w:unhideWhenUsed/>
    <w:rsid w:val="0006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8AF"/>
    <w:rPr>
      <w:sz w:val="20"/>
      <w:szCs w:val="20"/>
    </w:rPr>
  </w:style>
  <w:style w:type="character" w:styleId="FootnoteReference">
    <w:name w:val="footnote reference"/>
    <w:basedOn w:val="DefaultParagraphFont"/>
    <w:uiPriority w:val="99"/>
    <w:semiHidden/>
    <w:unhideWhenUsed/>
    <w:rsid w:val="000668AF"/>
    <w:rPr>
      <w:vertAlign w:val="superscript"/>
    </w:rPr>
  </w:style>
  <w:style w:type="paragraph" w:styleId="Header">
    <w:name w:val="header"/>
    <w:basedOn w:val="Normal"/>
    <w:link w:val="HeaderChar"/>
    <w:uiPriority w:val="99"/>
    <w:unhideWhenUsed/>
    <w:rsid w:val="00536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BE"/>
  </w:style>
  <w:style w:type="paragraph" w:styleId="Footer">
    <w:name w:val="footer"/>
    <w:basedOn w:val="Normal"/>
    <w:link w:val="FooterChar"/>
    <w:uiPriority w:val="99"/>
    <w:unhideWhenUsed/>
    <w:rsid w:val="00536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BE"/>
  </w:style>
  <w:style w:type="paragraph" w:styleId="BalloonText">
    <w:name w:val="Balloon Text"/>
    <w:basedOn w:val="Normal"/>
    <w:link w:val="BalloonTextChar"/>
    <w:uiPriority w:val="99"/>
    <w:semiHidden/>
    <w:unhideWhenUsed/>
    <w:rsid w:val="00324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4A"/>
    <w:rPr>
      <w:rFonts w:ascii="Segoe UI" w:hAnsi="Segoe UI" w:cs="Segoe UI"/>
      <w:sz w:val="18"/>
      <w:szCs w:val="18"/>
    </w:rPr>
  </w:style>
  <w:style w:type="paragraph" w:styleId="EndnoteText">
    <w:name w:val="endnote text"/>
    <w:basedOn w:val="Normal"/>
    <w:link w:val="EndnoteTextChar"/>
    <w:uiPriority w:val="99"/>
    <w:semiHidden/>
    <w:unhideWhenUsed/>
    <w:rsid w:val="00EE4E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4E7E"/>
    <w:rPr>
      <w:sz w:val="20"/>
      <w:szCs w:val="20"/>
    </w:rPr>
  </w:style>
  <w:style w:type="character" w:styleId="EndnoteReference">
    <w:name w:val="endnote reference"/>
    <w:basedOn w:val="DefaultParagraphFont"/>
    <w:uiPriority w:val="99"/>
    <w:semiHidden/>
    <w:unhideWhenUsed/>
    <w:rsid w:val="00EE4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6318</Words>
  <Characters>36015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Williams</dc:creator>
  <cp:keywords/>
  <dc:description/>
  <cp:lastModifiedBy>Guy Williams</cp:lastModifiedBy>
  <cp:revision>488</cp:revision>
  <cp:lastPrinted>2021-01-20T18:03:00Z</cp:lastPrinted>
  <dcterms:created xsi:type="dcterms:W3CDTF">2021-01-20T10:11:00Z</dcterms:created>
  <dcterms:modified xsi:type="dcterms:W3CDTF">2021-01-21T13:07:00Z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-1357209755</vt:i4>
  </property>
  <property fmtid="{D5CDD505-2E9C-101B-9397-08002B2CF9AE}" pid="3" name="_NewReviewCycle">
    <vt:lpwstr/>
  </property>
  <property fmtid="{D5CDD505-2E9C-101B-9397-08002B2CF9AE}" pid="4" name="_EmailSubject">
    <vt:lpwstr>Core Documents web site</vt:lpwstr>
  </property>
  <property fmtid="{D5CDD505-2E9C-101B-9397-08002B2CF9AE}" pid="5" name="_AuthorEmail">
    <vt:lpwstr>richard.sagar@walkermorris.co.uk</vt:lpwstr>
  </property>
  <property fmtid="{D5CDD505-2E9C-101B-9397-08002B2CF9AE}" pid="6" name="_AuthorEmailDisplayName">
    <vt:lpwstr>Richard Sagar</vt:lpwstr>
  </property>
  <property fmtid="{D5CDD505-2E9C-101B-9397-08002B2CF9AE}" pid="7" name="_PreviousAdHocReviewCycleID">
    <vt:i4>-1357209755</vt:i4>
  </property>
</Properties>
</file>